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379A694D" w14:textId="77777777" w:rsidTr="00056C4F">
        <w:tc>
          <w:tcPr>
            <w:tcW w:w="4453" w:type="dxa"/>
            <w:shd w:val="clear" w:color="auto" w:fill="D9D9D9" w:themeFill="background1" w:themeFillShade="D9"/>
          </w:tcPr>
          <w:p w14:paraId="4B7175B4" w14:textId="623BF329" w:rsidR="00D7531D" w:rsidRPr="006F4A41" w:rsidRDefault="00D7531D" w:rsidP="00E14390">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D7531D" w:rsidRPr="006F4A41" w:rsidRDefault="00D7531D" w:rsidP="00E14390">
            <w:pPr>
              <w:tabs>
                <w:tab w:val="left" w:pos="6645"/>
              </w:tabs>
              <w:rPr>
                <w:rFonts w:ascii="Arial" w:hAnsi="Arial" w:cs="Arial"/>
                <w:b/>
                <w:szCs w:val="24"/>
              </w:rPr>
            </w:pPr>
          </w:p>
        </w:tc>
        <w:tc>
          <w:tcPr>
            <w:tcW w:w="10715" w:type="dxa"/>
          </w:tcPr>
          <w:p w14:paraId="2A2A6611" w14:textId="492138BD" w:rsidR="00D7531D" w:rsidRPr="006F4A41" w:rsidRDefault="00A36608" w:rsidP="00E14390">
            <w:pPr>
              <w:tabs>
                <w:tab w:val="left" w:pos="6645"/>
              </w:tabs>
              <w:rPr>
                <w:rFonts w:ascii="Arial" w:hAnsi="Arial" w:cs="Arial"/>
                <w:szCs w:val="24"/>
              </w:rPr>
            </w:pPr>
            <w:r>
              <w:rPr>
                <w:rFonts w:ascii="Arial" w:hAnsi="Arial" w:cs="Arial"/>
                <w:szCs w:val="24"/>
              </w:rPr>
              <w:t>Sir Jonathan North Community College</w:t>
            </w:r>
          </w:p>
        </w:tc>
      </w:tr>
      <w:tr w:rsidR="00D7531D" w:rsidRPr="006F4A41" w14:paraId="58C25432" w14:textId="77777777" w:rsidTr="00056C4F">
        <w:tc>
          <w:tcPr>
            <w:tcW w:w="4453" w:type="dxa"/>
            <w:shd w:val="clear" w:color="auto" w:fill="D9D9D9" w:themeFill="background1" w:themeFillShade="D9"/>
          </w:tcPr>
          <w:p w14:paraId="39C6819F"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Lead contact</w:t>
            </w:r>
          </w:p>
          <w:p w14:paraId="0F6771A7" w14:textId="77777777" w:rsidR="00D7531D" w:rsidRPr="006F4A41" w:rsidRDefault="00D7531D" w:rsidP="00E14390">
            <w:pPr>
              <w:tabs>
                <w:tab w:val="left" w:pos="6645"/>
              </w:tabs>
              <w:rPr>
                <w:rFonts w:ascii="Arial" w:hAnsi="Arial" w:cs="Arial"/>
                <w:b/>
                <w:szCs w:val="24"/>
              </w:rPr>
            </w:pPr>
          </w:p>
        </w:tc>
        <w:tc>
          <w:tcPr>
            <w:tcW w:w="10715" w:type="dxa"/>
          </w:tcPr>
          <w:p w14:paraId="0E7FD2B0" w14:textId="1A8A8553" w:rsidR="00D7531D" w:rsidRPr="006F4A41" w:rsidRDefault="00A36608" w:rsidP="00835CE9">
            <w:pPr>
              <w:tabs>
                <w:tab w:val="left" w:pos="6645"/>
              </w:tabs>
              <w:rPr>
                <w:rFonts w:ascii="Arial" w:hAnsi="Arial" w:cs="Arial"/>
                <w:szCs w:val="24"/>
              </w:rPr>
            </w:pPr>
            <w:r>
              <w:rPr>
                <w:rFonts w:ascii="Arial" w:hAnsi="Arial" w:cs="Arial"/>
                <w:szCs w:val="24"/>
              </w:rPr>
              <w:t>Patricia Thompson</w:t>
            </w:r>
          </w:p>
        </w:tc>
      </w:tr>
      <w:tr w:rsidR="00D7531D" w:rsidRPr="006F4A41" w14:paraId="6D90BDD9" w14:textId="77777777" w:rsidTr="00056C4F">
        <w:tc>
          <w:tcPr>
            <w:tcW w:w="4453" w:type="dxa"/>
            <w:shd w:val="clear" w:color="auto" w:fill="D9D9D9" w:themeFill="background1" w:themeFillShade="D9"/>
          </w:tcPr>
          <w:p w14:paraId="3224ED17"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14390">
            <w:pPr>
              <w:tabs>
                <w:tab w:val="left" w:pos="6645"/>
              </w:tabs>
              <w:rPr>
                <w:rFonts w:ascii="Arial" w:hAnsi="Arial" w:cs="Arial"/>
                <w:b/>
                <w:szCs w:val="24"/>
              </w:rPr>
            </w:pPr>
          </w:p>
        </w:tc>
        <w:tc>
          <w:tcPr>
            <w:tcW w:w="10715" w:type="dxa"/>
          </w:tcPr>
          <w:p w14:paraId="4BA755BB" w14:textId="18D5C1EF" w:rsidR="00D7531D" w:rsidRPr="006F4A41" w:rsidRDefault="00E44234" w:rsidP="00E14390">
            <w:pPr>
              <w:tabs>
                <w:tab w:val="left" w:pos="6645"/>
              </w:tabs>
              <w:rPr>
                <w:rFonts w:ascii="Arial" w:hAnsi="Arial" w:cs="Arial"/>
                <w:szCs w:val="24"/>
              </w:rPr>
            </w:pPr>
            <w:r>
              <w:rPr>
                <w:rFonts w:ascii="Arial" w:hAnsi="Arial" w:cs="Arial"/>
                <w:szCs w:val="24"/>
              </w:rPr>
              <w:t>September 2018</w:t>
            </w:r>
          </w:p>
        </w:tc>
      </w:tr>
    </w:tbl>
    <w:p w14:paraId="7712AFDF" w14:textId="7964C85A" w:rsidR="00D7531D" w:rsidRDefault="00D7531D" w:rsidP="00D33BE7">
      <w:pPr>
        <w:jc w:val="center"/>
        <w:rPr>
          <w:rFonts w:ascii="Arial" w:hAnsi="Arial" w:cs="Arial"/>
          <w:b/>
          <w:sz w:val="24"/>
          <w:szCs w:val="24"/>
        </w:rPr>
      </w:pPr>
    </w:p>
    <w:tbl>
      <w:tblPr>
        <w:tblStyle w:val="TableGrid"/>
        <w:tblW w:w="15168" w:type="dxa"/>
        <w:tblInd w:w="-572" w:type="dxa"/>
        <w:tblLook w:val="04A0" w:firstRow="1" w:lastRow="0" w:firstColumn="1" w:lastColumn="0" w:noHBand="0" w:noVBand="1"/>
      </w:tblPr>
      <w:tblGrid>
        <w:gridCol w:w="10773"/>
        <w:gridCol w:w="4395"/>
      </w:tblGrid>
      <w:tr w:rsidR="001B543F" w14:paraId="5BFFD5BE" w14:textId="77777777" w:rsidTr="001B543F">
        <w:tc>
          <w:tcPr>
            <w:tcW w:w="10773" w:type="dxa"/>
          </w:tcPr>
          <w:p w14:paraId="762DD1DD" w14:textId="6E031D98" w:rsidR="001B543F" w:rsidRDefault="001B543F" w:rsidP="00D33BE7">
            <w:pPr>
              <w:jc w:val="center"/>
              <w:rPr>
                <w:rFonts w:ascii="Arial" w:hAnsi="Arial" w:cs="Arial"/>
                <w:b/>
                <w:sz w:val="24"/>
                <w:szCs w:val="24"/>
              </w:rPr>
            </w:pPr>
            <w:r>
              <w:rPr>
                <w:rFonts w:ascii="Arial" w:hAnsi="Arial" w:cs="Arial"/>
                <w:b/>
                <w:sz w:val="24"/>
                <w:szCs w:val="24"/>
              </w:rPr>
              <w:t>Course summary</w:t>
            </w:r>
          </w:p>
        </w:tc>
        <w:tc>
          <w:tcPr>
            <w:tcW w:w="4395" w:type="dxa"/>
          </w:tcPr>
          <w:p w14:paraId="56D8F36F" w14:textId="48A0B318" w:rsidR="001B543F" w:rsidRDefault="001B543F" w:rsidP="00D33BE7">
            <w:pPr>
              <w:jc w:val="center"/>
              <w:rPr>
                <w:rFonts w:ascii="Arial" w:hAnsi="Arial" w:cs="Arial"/>
                <w:b/>
                <w:sz w:val="24"/>
                <w:szCs w:val="24"/>
              </w:rPr>
            </w:pPr>
            <w:r>
              <w:rPr>
                <w:rFonts w:ascii="Arial" w:hAnsi="Arial" w:cs="Arial"/>
                <w:b/>
                <w:sz w:val="24"/>
                <w:szCs w:val="24"/>
              </w:rPr>
              <w:t>Notes</w:t>
            </w:r>
          </w:p>
        </w:tc>
      </w:tr>
      <w:tr w:rsidR="001B543F" w14:paraId="59E5A205" w14:textId="77777777" w:rsidTr="001B543F">
        <w:tc>
          <w:tcPr>
            <w:tcW w:w="10773" w:type="dxa"/>
          </w:tcPr>
          <w:p w14:paraId="70C3AB58" w14:textId="77777777" w:rsidR="0086772E" w:rsidRPr="0086772E" w:rsidRDefault="0086772E" w:rsidP="0086772E">
            <w:pPr>
              <w:jc w:val="center"/>
              <w:rPr>
                <w:rFonts w:ascii="Arial" w:hAnsi="Arial" w:cs="Arial"/>
                <w:b/>
                <w:sz w:val="24"/>
                <w:szCs w:val="24"/>
              </w:rPr>
            </w:pPr>
          </w:p>
          <w:p w14:paraId="606539EB" w14:textId="77777777" w:rsidR="001B543F" w:rsidRPr="0087044A" w:rsidRDefault="001B543F" w:rsidP="00D33BE7">
            <w:pPr>
              <w:jc w:val="center"/>
              <w:rPr>
                <w:rFonts w:ascii="Arial" w:hAnsi="Arial" w:cs="Arial"/>
                <w:b/>
              </w:rPr>
            </w:pPr>
          </w:p>
          <w:p w14:paraId="6A76EA5D" w14:textId="7BF13AD6" w:rsidR="00707AE6" w:rsidRPr="0087044A" w:rsidRDefault="00707AE6" w:rsidP="00707AE6">
            <w:pPr>
              <w:rPr>
                <w:rFonts w:ascii="Arial" w:hAnsi="Arial" w:cs="Arial"/>
              </w:rPr>
            </w:pPr>
            <w:r w:rsidRPr="0087044A">
              <w:rPr>
                <w:rFonts w:ascii="Arial" w:hAnsi="Arial" w:cs="Arial"/>
              </w:rPr>
              <w:t xml:space="preserve">Objectives: to </w:t>
            </w:r>
            <w:r w:rsidR="0086772E" w:rsidRPr="0087044A">
              <w:rPr>
                <w:rFonts w:ascii="Arial" w:hAnsi="Arial" w:cs="Arial"/>
              </w:rPr>
              <w:t>enable non-specialists</w:t>
            </w:r>
            <w:r w:rsidRPr="0087044A">
              <w:rPr>
                <w:rFonts w:ascii="Arial" w:hAnsi="Arial" w:cs="Arial"/>
              </w:rPr>
              <w:t xml:space="preserve"> </w:t>
            </w:r>
            <w:r w:rsidR="0086772E" w:rsidRPr="0087044A">
              <w:rPr>
                <w:rFonts w:ascii="Arial" w:hAnsi="Arial" w:cs="Arial"/>
              </w:rPr>
              <w:t>to teach KS4 Physics with confidence by developing</w:t>
            </w:r>
            <w:r w:rsidRPr="0087044A">
              <w:rPr>
                <w:rFonts w:ascii="Arial" w:hAnsi="Arial" w:cs="Arial"/>
              </w:rPr>
              <w:t xml:space="preserve"> the subject-specific </w:t>
            </w:r>
            <w:r w:rsidR="0086772E" w:rsidRPr="0087044A">
              <w:rPr>
                <w:rFonts w:ascii="Arial" w:hAnsi="Arial" w:cs="Arial"/>
              </w:rPr>
              <w:t xml:space="preserve">practical </w:t>
            </w:r>
            <w:r w:rsidRPr="0087044A">
              <w:rPr>
                <w:rFonts w:ascii="Arial" w:hAnsi="Arial" w:cs="Arial"/>
              </w:rPr>
              <w:t>skills, knowledge and pedagogy</w:t>
            </w:r>
            <w:r w:rsidR="0086772E" w:rsidRPr="0087044A">
              <w:rPr>
                <w:rFonts w:ascii="Arial" w:hAnsi="Arial" w:cs="Arial"/>
              </w:rPr>
              <w:t xml:space="preserve">. </w:t>
            </w:r>
          </w:p>
          <w:p w14:paraId="5F9E008B" w14:textId="4B87CB08" w:rsidR="0086772E" w:rsidRPr="0087044A" w:rsidRDefault="0086772E" w:rsidP="00707AE6">
            <w:pPr>
              <w:rPr>
                <w:rFonts w:ascii="Arial" w:hAnsi="Arial" w:cs="Arial"/>
              </w:rPr>
            </w:pPr>
          </w:p>
          <w:p w14:paraId="06373D61" w14:textId="52532098" w:rsidR="0086772E" w:rsidRPr="0087044A" w:rsidRDefault="0086772E" w:rsidP="00707AE6">
            <w:pPr>
              <w:rPr>
                <w:rFonts w:ascii="Arial" w:hAnsi="Arial" w:cs="Arial"/>
              </w:rPr>
            </w:pPr>
            <w:r w:rsidRPr="0087044A">
              <w:rPr>
                <w:rFonts w:ascii="Arial" w:hAnsi="Arial" w:cs="Arial"/>
              </w:rPr>
              <w:t xml:space="preserve">Expected Outcomes: </w:t>
            </w:r>
          </w:p>
          <w:p w14:paraId="2ADA7BE6" w14:textId="060E13E4" w:rsidR="0086772E" w:rsidRPr="0087044A" w:rsidRDefault="0086772E" w:rsidP="0086772E">
            <w:pPr>
              <w:rPr>
                <w:rFonts w:ascii="Arial" w:hAnsi="Arial" w:cs="Arial"/>
              </w:rPr>
            </w:pPr>
            <w:r w:rsidRPr="0087044A">
              <w:rPr>
                <w:rFonts w:ascii="Arial" w:hAnsi="Arial" w:cs="Arial"/>
              </w:rPr>
              <w:t>Teachers will have extended their subject knowledge and had the opportunity to learn and develop skills with others from schools across the region</w:t>
            </w:r>
            <w:bookmarkStart w:id="0" w:name="_GoBack"/>
            <w:bookmarkEnd w:id="0"/>
          </w:p>
          <w:p w14:paraId="651DD3EA" w14:textId="5F683460" w:rsidR="0086772E" w:rsidRPr="0087044A" w:rsidRDefault="0086772E" w:rsidP="0086772E">
            <w:pPr>
              <w:rPr>
                <w:rFonts w:ascii="Arial" w:hAnsi="Arial" w:cs="Arial"/>
              </w:rPr>
            </w:pPr>
            <w:r w:rsidRPr="0087044A">
              <w:rPr>
                <w:rFonts w:ascii="Arial" w:hAnsi="Arial" w:cs="Arial"/>
              </w:rPr>
              <w:t>Teachers will be able to improve the overall quality of teaching and learning of Physics and be able to develop materials and schemes of work</w:t>
            </w:r>
          </w:p>
          <w:p w14:paraId="3BAE1E51" w14:textId="5B906B1D" w:rsidR="0086772E" w:rsidRPr="0087044A" w:rsidRDefault="0086772E" w:rsidP="0086772E">
            <w:pPr>
              <w:rPr>
                <w:rFonts w:ascii="Arial" w:hAnsi="Arial" w:cs="Arial"/>
              </w:rPr>
            </w:pPr>
            <w:r w:rsidRPr="0087044A">
              <w:rPr>
                <w:rFonts w:ascii="Arial" w:hAnsi="Arial" w:cs="Arial"/>
              </w:rPr>
              <w:t>Schools will have more flexibility in timetabling</w:t>
            </w:r>
          </w:p>
          <w:p w14:paraId="70BD1A33" w14:textId="21A30546" w:rsidR="0086772E" w:rsidRPr="0087044A" w:rsidRDefault="0086772E" w:rsidP="0086772E">
            <w:pPr>
              <w:rPr>
                <w:rFonts w:ascii="Arial" w:hAnsi="Arial" w:cs="Arial"/>
              </w:rPr>
            </w:pPr>
            <w:r w:rsidRPr="0087044A">
              <w:rPr>
                <w:rFonts w:ascii="Arial" w:hAnsi="Arial" w:cs="Arial"/>
              </w:rPr>
              <w:t>Schools will have improved outcomes for learners at KS4</w:t>
            </w:r>
          </w:p>
          <w:p w14:paraId="13719BF1" w14:textId="77777777" w:rsidR="0086772E" w:rsidRPr="0087044A" w:rsidRDefault="0086772E" w:rsidP="00707AE6">
            <w:pPr>
              <w:rPr>
                <w:rFonts w:ascii="Arial" w:hAnsi="Arial" w:cs="Arial"/>
              </w:rPr>
            </w:pPr>
          </w:p>
          <w:p w14:paraId="34662E30" w14:textId="78B8F409" w:rsidR="00707AE6" w:rsidRPr="0087044A" w:rsidRDefault="00707AE6" w:rsidP="00707AE6">
            <w:pPr>
              <w:rPr>
                <w:rFonts w:ascii="Arial" w:hAnsi="Arial" w:cs="Arial"/>
              </w:rPr>
            </w:pPr>
            <w:r w:rsidRPr="0087044A">
              <w:rPr>
                <w:rFonts w:ascii="Arial" w:hAnsi="Arial" w:cs="Arial"/>
              </w:rPr>
              <w:t>The TSST will follow a blended learning model including:</w:t>
            </w:r>
          </w:p>
          <w:p w14:paraId="4F06C313" w14:textId="3A3AB184" w:rsidR="00707AE6" w:rsidRPr="0087044A" w:rsidRDefault="00707AE6" w:rsidP="002419C9">
            <w:pPr>
              <w:pStyle w:val="ListParagraph"/>
              <w:numPr>
                <w:ilvl w:val="0"/>
                <w:numId w:val="2"/>
              </w:numPr>
              <w:spacing w:after="0"/>
              <w:rPr>
                <w:rFonts w:cs="Arial"/>
                <w:szCs w:val="20"/>
              </w:rPr>
            </w:pPr>
            <w:r w:rsidRPr="0087044A">
              <w:rPr>
                <w:rFonts w:eastAsia="Calibri" w:cs="Arial"/>
                <w:szCs w:val="20"/>
              </w:rPr>
              <w:t xml:space="preserve">3 Face-to-face days (18 hours), delivered by our </w:t>
            </w:r>
            <w:proofErr w:type="spellStart"/>
            <w:r w:rsidRPr="0087044A">
              <w:rPr>
                <w:rFonts w:eastAsia="Calibri" w:cs="Arial"/>
                <w:szCs w:val="20"/>
              </w:rPr>
              <w:t>IoP</w:t>
            </w:r>
            <w:proofErr w:type="spellEnd"/>
            <w:r w:rsidRPr="0087044A">
              <w:rPr>
                <w:rFonts w:eastAsia="Calibri" w:cs="Arial"/>
                <w:szCs w:val="20"/>
              </w:rPr>
              <w:t xml:space="preserve"> Physics co-ordinator, using the high quality materials developed by </w:t>
            </w:r>
            <w:proofErr w:type="spellStart"/>
            <w:r w:rsidRPr="0087044A">
              <w:rPr>
                <w:rFonts w:eastAsia="Calibri" w:cs="Arial"/>
                <w:szCs w:val="20"/>
              </w:rPr>
              <w:t>IoP</w:t>
            </w:r>
            <w:proofErr w:type="spellEnd"/>
            <w:r w:rsidRPr="0087044A">
              <w:rPr>
                <w:rFonts w:eastAsia="Calibri" w:cs="Arial"/>
                <w:szCs w:val="20"/>
              </w:rPr>
              <w:t xml:space="preserve">, The sessions will be planned in conjunction with a SLE experienced in facilitation to ensure quality delivery.   </w:t>
            </w:r>
            <w:r w:rsidRPr="0087044A">
              <w:rPr>
                <w:rFonts w:cs="Arial"/>
                <w:szCs w:val="20"/>
              </w:rPr>
              <w:t xml:space="preserve"> </w:t>
            </w:r>
          </w:p>
          <w:p w14:paraId="51768F5C" w14:textId="7F1B77D1" w:rsidR="00707AE6" w:rsidRPr="0087044A" w:rsidRDefault="00707AE6" w:rsidP="00707AE6">
            <w:pPr>
              <w:pStyle w:val="ListParagraph"/>
              <w:numPr>
                <w:ilvl w:val="0"/>
                <w:numId w:val="2"/>
              </w:numPr>
              <w:spacing w:after="0"/>
              <w:rPr>
                <w:rFonts w:cs="Arial"/>
                <w:szCs w:val="20"/>
              </w:rPr>
            </w:pPr>
            <w:r w:rsidRPr="0087044A">
              <w:rPr>
                <w:rFonts w:cs="Arial"/>
                <w:szCs w:val="20"/>
              </w:rPr>
              <w:t xml:space="preserve">2 </w:t>
            </w:r>
            <w:r w:rsidRPr="0087044A">
              <w:rPr>
                <w:rFonts w:eastAsia="Calibri" w:cs="Arial"/>
                <w:szCs w:val="20"/>
              </w:rPr>
              <w:t>days of a lesson study type approach, with participants co-planning and observing each other’s lessons. The nature of this will depend on the specific background of the participant</w:t>
            </w:r>
            <w:r w:rsidRPr="0087044A">
              <w:rPr>
                <w:rFonts w:cs="Arial"/>
                <w:szCs w:val="20"/>
              </w:rPr>
              <w:t xml:space="preserve"> (12 hours)</w:t>
            </w:r>
          </w:p>
          <w:p w14:paraId="637F609B" w14:textId="0BC6CF05" w:rsidR="001B543F" w:rsidRDefault="00707AE6" w:rsidP="00EA4145">
            <w:pPr>
              <w:pStyle w:val="ListParagraph"/>
              <w:numPr>
                <w:ilvl w:val="0"/>
                <w:numId w:val="2"/>
              </w:numPr>
              <w:spacing w:after="0"/>
              <w:rPr>
                <w:rFonts w:cs="Arial"/>
                <w:b/>
                <w:sz w:val="24"/>
              </w:rPr>
            </w:pPr>
            <w:r w:rsidRPr="0087044A">
              <w:rPr>
                <w:rFonts w:cs="Arial"/>
                <w:szCs w:val="20"/>
              </w:rPr>
              <w:t>Online learning (provided by CIMT)</w:t>
            </w:r>
          </w:p>
          <w:p w14:paraId="1E2183C9" w14:textId="77777777" w:rsidR="001B543F" w:rsidRDefault="001B543F" w:rsidP="00D33BE7">
            <w:pPr>
              <w:jc w:val="center"/>
              <w:rPr>
                <w:rFonts w:ascii="Arial" w:hAnsi="Arial" w:cs="Arial"/>
                <w:b/>
                <w:sz w:val="24"/>
                <w:szCs w:val="24"/>
              </w:rPr>
            </w:pPr>
          </w:p>
          <w:p w14:paraId="79D5284D" w14:textId="77777777" w:rsidR="001B543F" w:rsidRDefault="001B543F" w:rsidP="00D33BE7">
            <w:pPr>
              <w:jc w:val="center"/>
              <w:rPr>
                <w:rFonts w:ascii="Arial" w:hAnsi="Arial" w:cs="Arial"/>
                <w:b/>
                <w:sz w:val="24"/>
                <w:szCs w:val="24"/>
              </w:rPr>
            </w:pPr>
          </w:p>
          <w:p w14:paraId="7813066F" w14:textId="77777777" w:rsidR="001B543F" w:rsidRDefault="001B543F" w:rsidP="00D33BE7">
            <w:pPr>
              <w:jc w:val="center"/>
              <w:rPr>
                <w:rFonts w:ascii="Arial" w:hAnsi="Arial" w:cs="Arial"/>
                <w:b/>
                <w:sz w:val="24"/>
                <w:szCs w:val="24"/>
              </w:rPr>
            </w:pPr>
          </w:p>
          <w:p w14:paraId="2665D2BB" w14:textId="77777777" w:rsidR="001B543F" w:rsidRDefault="001B543F" w:rsidP="00D33BE7">
            <w:pPr>
              <w:jc w:val="center"/>
              <w:rPr>
                <w:rFonts w:ascii="Arial" w:hAnsi="Arial" w:cs="Arial"/>
                <w:b/>
                <w:sz w:val="24"/>
                <w:szCs w:val="24"/>
              </w:rPr>
            </w:pPr>
          </w:p>
          <w:p w14:paraId="082818FB" w14:textId="77777777" w:rsidR="001B543F" w:rsidRDefault="001B543F" w:rsidP="00D33BE7">
            <w:pPr>
              <w:jc w:val="center"/>
              <w:rPr>
                <w:rFonts w:ascii="Arial" w:hAnsi="Arial" w:cs="Arial"/>
                <w:b/>
                <w:sz w:val="24"/>
                <w:szCs w:val="24"/>
              </w:rPr>
            </w:pPr>
          </w:p>
          <w:p w14:paraId="126DF947" w14:textId="2B521CD0" w:rsidR="001B543F" w:rsidRDefault="001B543F" w:rsidP="00D33BE7">
            <w:pPr>
              <w:jc w:val="center"/>
              <w:rPr>
                <w:rFonts w:ascii="Arial" w:hAnsi="Arial" w:cs="Arial"/>
                <w:b/>
                <w:sz w:val="24"/>
                <w:szCs w:val="24"/>
              </w:rPr>
            </w:pPr>
          </w:p>
        </w:tc>
        <w:tc>
          <w:tcPr>
            <w:tcW w:w="4395" w:type="dxa"/>
          </w:tcPr>
          <w:p w14:paraId="2000CDD8" w14:textId="76796491" w:rsidR="001B543F" w:rsidRPr="001B543F" w:rsidRDefault="001B543F" w:rsidP="001B543F">
            <w:pPr>
              <w:rPr>
                <w:rFonts w:ascii="Arial" w:hAnsi="Arial" w:cs="Arial"/>
                <w:sz w:val="24"/>
                <w:szCs w:val="24"/>
              </w:rPr>
            </w:pPr>
            <w:r w:rsidRPr="001B543F">
              <w:rPr>
                <w:rFonts w:ascii="Arial" w:hAnsi="Arial" w:cs="Arial"/>
                <w:sz w:val="24"/>
                <w:szCs w:val="24"/>
              </w:rPr>
              <w:t>Short description of the course (e.g. objectives and expected outcomes)</w:t>
            </w:r>
          </w:p>
        </w:tc>
      </w:tr>
    </w:tbl>
    <w:p w14:paraId="69116AB1" w14:textId="77777777" w:rsidR="001B543F" w:rsidRPr="00056C4F" w:rsidRDefault="001B543F"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159" w:type="dxa"/>
              <w:tblLook w:val="04A0" w:firstRow="1" w:lastRow="0" w:firstColumn="1" w:lastColumn="0" w:noHBand="0" w:noVBand="1"/>
            </w:tblPr>
            <w:tblGrid>
              <w:gridCol w:w="4138"/>
              <w:gridCol w:w="1418"/>
              <w:gridCol w:w="1559"/>
              <w:gridCol w:w="1417"/>
              <w:gridCol w:w="1953"/>
              <w:gridCol w:w="1722"/>
              <w:gridCol w:w="2952"/>
            </w:tblGrid>
            <w:tr w:rsidR="006F4A41" w:rsidRPr="006F4A41" w14:paraId="7F578DCB" w14:textId="77777777" w:rsidTr="002F7A29">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t> </w:t>
                  </w:r>
                  <w:r w:rsidRPr="006F4A41">
                    <w:rPr>
                      <w:rFonts w:ascii="Arial" w:eastAsia="Times New Roman" w:hAnsi="Arial" w:cs="Arial"/>
                      <w:b/>
                      <w:bCs/>
                      <w:color w:val="000000"/>
                      <w:lang w:eastAsia="en-GB"/>
                    </w:rPr>
                    <w:t> </w:t>
                  </w:r>
                </w:p>
              </w:tc>
              <w:tc>
                <w:tcPr>
                  <w:tcW w:w="1102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DD5728" w:rsidRPr="006F4A41" w14:paraId="2292D359" w14:textId="77777777" w:rsidTr="002F7A29">
              <w:trPr>
                <w:trHeight w:val="600"/>
              </w:trPr>
              <w:tc>
                <w:tcPr>
                  <w:tcW w:w="4138" w:type="dxa"/>
                  <w:tcBorders>
                    <w:top w:val="single" w:sz="4" w:space="0" w:color="auto"/>
                    <w:left w:val="single" w:sz="4" w:space="0" w:color="808080"/>
                    <w:bottom w:val="nil"/>
                    <w:right w:val="single" w:sz="4" w:space="0" w:color="808080"/>
                  </w:tcBorders>
                  <w:shd w:val="clear" w:color="000000" w:fill="D9D9D9"/>
                  <w:hideMark/>
                </w:tcPr>
                <w:p w14:paraId="5CE7AC84" w14:textId="77777777" w:rsidR="00DD5728" w:rsidRPr="006F4A41" w:rsidRDefault="00DD5728" w:rsidP="00DD5728">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418"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55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1417"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2F78AC40"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3153270"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72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2C87714F"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295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E6066F0" w14:textId="77777777"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7686EB92" w14:textId="3359DFB4" w:rsidR="00DD5728" w:rsidRPr="006F4A41" w:rsidRDefault="00DD5728" w:rsidP="00DD5728">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r>
            <w:tr w:rsidR="003239B6" w:rsidRPr="006F4A41" w14:paraId="57F25155" w14:textId="77777777" w:rsidTr="00D72DF7">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C4CA276" w:rsidR="003239B6" w:rsidRPr="006F4A41" w:rsidRDefault="003239B6" w:rsidP="00DD5728">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418" w:type="dxa"/>
                  <w:vMerge w:val="restart"/>
                  <w:tcBorders>
                    <w:top w:val="nil"/>
                    <w:left w:val="nil"/>
                    <w:right w:val="single" w:sz="4" w:space="0" w:color="808080"/>
                  </w:tcBorders>
                  <w:shd w:val="clear" w:color="auto" w:fill="F7CAAC" w:themeFill="accent2" w:themeFillTint="66"/>
                  <w:noWrap/>
                  <w:hideMark/>
                </w:tcPr>
                <w:p w14:paraId="4269FCB4" w14:textId="77777777" w:rsidR="003239B6" w:rsidRPr="006F4A41"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p w14:paraId="4A44D884" w14:textId="77106466" w:rsidR="003239B6" w:rsidRPr="006F4A41" w:rsidRDefault="003239B6"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559" w:type="dxa"/>
                  <w:vMerge w:val="restart"/>
                  <w:tcBorders>
                    <w:top w:val="nil"/>
                    <w:left w:val="nil"/>
                    <w:right w:val="single" w:sz="4" w:space="0" w:color="808080"/>
                  </w:tcBorders>
                  <w:shd w:val="clear" w:color="auto" w:fill="F7CAAC" w:themeFill="accent2" w:themeFillTint="66"/>
                  <w:noWrap/>
                  <w:hideMark/>
                </w:tcPr>
                <w:p w14:paraId="6C5220BB" w14:textId="77777777" w:rsidR="003239B6" w:rsidRPr="006F4A41"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r w:rsidRPr="006F4A41">
                    <w:rPr>
                      <w:rFonts w:ascii="Arial" w:eastAsia="Times New Roman" w:hAnsi="Arial" w:cs="Arial"/>
                      <w:color w:val="000000"/>
                      <w:lang w:eastAsia="en-GB"/>
                    </w:rPr>
                    <w:t> </w:t>
                  </w:r>
                </w:p>
                <w:p w14:paraId="4E331C57" w14:textId="25BEA636" w:rsidR="003239B6" w:rsidRPr="006F4A41" w:rsidRDefault="003239B6"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417" w:type="dxa"/>
                  <w:vMerge w:val="restart"/>
                  <w:tcBorders>
                    <w:top w:val="nil"/>
                    <w:left w:val="nil"/>
                    <w:right w:val="single" w:sz="4" w:space="0" w:color="808080"/>
                  </w:tcBorders>
                  <w:shd w:val="clear" w:color="auto" w:fill="F7CAAC" w:themeFill="accent2" w:themeFillTint="66"/>
                  <w:noWrap/>
                  <w:hideMark/>
                </w:tcPr>
                <w:p w14:paraId="1EA6AE50" w14:textId="77777777" w:rsidR="003239B6" w:rsidRPr="006F4A41"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r w:rsidRPr="006F4A41">
                    <w:rPr>
                      <w:rFonts w:ascii="Arial" w:eastAsia="Times New Roman" w:hAnsi="Arial" w:cs="Arial"/>
                      <w:color w:val="000000"/>
                      <w:lang w:eastAsia="en-GB"/>
                    </w:rPr>
                    <w:t> </w:t>
                  </w:r>
                </w:p>
                <w:p w14:paraId="19D30E06" w14:textId="7B79E81C" w:rsidR="003239B6" w:rsidRPr="006F4A41" w:rsidRDefault="003239B6"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953" w:type="dxa"/>
                  <w:vMerge w:val="restart"/>
                  <w:tcBorders>
                    <w:top w:val="nil"/>
                    <w:left w:val="nil"/>
                    <w:right w:val="single" w:sz="4" w:space="0" w:color="808080"/>
                  </w:tcBorders>
                  <w:shd w:val="clear" w:color="auto" w:fill="F7CAAC" w:themeFill="accent2" w:themeFillTint="66"/>
                  <w:noWrap/>
                  <w:hideMark/>
                </w:tcPr>
                <w:p w14:paraId="46E6CB1F" w14:textId="77777777" w:rsidR="003239B6" w:rsidRPr="006F4A41"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w:t>
                  </w:r>
                  <w:r w:rsidRPr="006F4A41">
                    <w:rPr>
                      <w:rFonts w:ascii="Arial" w:eastAsia="Times New Roman" w:hAnsi="Arial" w:cs="Arial"/>
                      <w:color w:val="000000"/>
                      <w:lang w:eastAsia="en-GB"/>
                    </w:rPr>
                    <w:t> </w:t>
                  </w:r>
                </w:p>
                <w:p w14:paraId="50CDBC8B" w14:textId="1F0B48F8" w:rsidR="003239B6" w:rsidRPr="006F4A41" w:rsidRDefault="003239B6"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722" w:type="dxa"/>
                  <w:vMerge w:val="restart"/>
                  <w:tcBorders>
                    <w:top w:val="nil"/>
                    <w:left w:val="nil"/>
                    <w:right w:val="single" w:sz="4" w:space="0" w:color="808080"/>
                  </w:tcBorders>
                  <w:shd w:val="clear" w:color="auto" w:fill="F7CAAC" w:themeFill="accent2" w:themeFillTint="66"/>
                  <w:noWrap/>
                  <w:hideMark/>
                </w:tcPr>
                <w:p w14:paraId="68715559" w14:textId="77777777" w:rsidR="003239B6" w:rsidRPr="006F4A41"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p w14:paraId="7FC6FB75" w14:textId="5EE43882" w:rsidR="003239B6" w:rsidRPr="006F4A41" w:rsidRDefault="003239B6"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7A2ACCD4" w14:textId="00834570" w:rsidR="003239B6" w:rsidRPr="006F4A41" w:rsidRDefault="003239B6" w:rsidP="00DD5728">
                  <w:pPr>
                    <w:spacing w:after="0" w:line="240" w:lineRule="auto"/>
                    <w:jc w:val="center"/>
                    <w:rPr>
                      <w:rFonts w:ascii="Arial" w:eastAsia="Times New Roman" w:hAnsi="Arial" w:cs="Arial"/>
                      <w:color w:val="000000"/>
                      <w:lang w:eastAsia="en-GB"/>
                    </w:rPr>
                  </w:pPr>
                </w:p>
              </w:tc>
            </w:tr>
            <w:tr w:rsidR="003239B6" w:rsidRPr="006F4A41" w14:paraId="356F6992" w14:textId="77777777" w:rsidTr="00D72DF7">
              <w:trPr>
                <w:trHeight w:val="1129"/>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6271A6D" w14:textId="388F6F8F" w:rsidR="003239B6" w:rsidRPr="004B124A" w:rsidRDefault="003239B6" w:rsidP="00DD5728">
                  <w:pPr>
                    <w:spacing w:after="0" w:line="240" w:lineRule="auto"/>
                    <w:rPr>
                      <w:rFonts w:ascii="Arial" w:eastAsia="Times New Roman" w:hAnsi="Arial" w:cs="Arial"/>
                      <w:color w:val="000000"/>
                      <w:sz w:val="18"/>
                      <w:szCs w:val="18"/>
                      <w:lang w:eastAsia="en-GB"/>
                    </w:rPr>
                  </w:pPr>
                  <w:r w:rsidRPr="004B124A">
                    <w:rPr>
                      <w:rFonts w:ascii="Arial" w:eastAsia="Times New Roman" w:hAnsi="Arial" w:cs="Arial"/>
                      <w:color w:val="000000"/>
                      <w:sz w:val="18"/>
                      <w:szCs w:val="18"/>
                      <w:lang w:eastAsia="en-GB"/>
                    </w:rPr>
                    <w:t>Practical (Hands on use of apparatus working individually or small groups. Observation of demonstrations is not deemed to be practical work)</w:t>
                  </w:r>
                </w:p>
              </w:tc>
              <w:tc>
                <w:tcPr>
                  <w:tcW w:w="1418" w:type="dxa"/>
                  <w:vMerge/>
                  <w:tcBorders>
                    <w:left w:val="nil"/>
                    <w:bottom w:val="single" w:sz="4" w:space="0" w:color="808080"/>
                    <w:right w:val="single" w:sz="4" w:space="0" w:color="808080"/>
                  </w:tcBorders>
                  <w:shd w:val="clear" w:color="auto" w:fill="F7CAAC" w:themeFill="accent2" w:themeFillTint="66"/>
                  <w:noWrap/>
                  <w:hideMark/>
                </w:tcPr>
                <w:p w14:paraId="252D7455" w14:textId="51A1ACAB" w:rsidR="003239B6" w:rsidRPr="006F4A41" w:rsidRDefault="003239B6" w:rsidP="00DD5728">
                  <w:pPr>
                    <w:spacing w:after="0" w:line="240" w:lineRule="auto"/>
                    <w:jc w:val="center"/>
                    <w:rPr>
                      <w:rFonts w:ascii="Arial" w:eastAsia="Times New Roman" w:hAnsi="Arial" w:cs="Arial"/>
                      <w:color w:val="000000"/>
                      <w:lang w:eastAsia="en-GB"/>
                    </w:rPr>
                  </w:pPr>
                </w:p>
              </w:tc>
              <w:tc>
                <w:tcPr>
                  <w:tcW w:w="1559" w:type="dxa"/>
                  <w:vMerge/>
                  <w:tcBorders>
                    <w:left w:val="nil"/>
                    <w:bottom w:val="single" w:sz="4" w:space="0" w:color="808080"/>
                    <w:right w:val="single" w:sz="4" w:space="0" w:color="808080"/>
                  </w:tcBorders>
                  <w:shd w:val="clear" w:color="auto" w:fill="F7CAAC" w:themeFill="accent2" w:themeFillTint="66"/>
                  <w:noWrap/>
                  <w:hideMark/>
                </w:tcPr>
                <w:p w14:paraId="5BD4A536" w14:textId="3FCB10D9" w:rsidR="003239B6" w:rsidRPr="006F4A41" w:rsidRDefault="003239B6" w:rsidP="00DD5728">
                  <w:pPr>
                    <w:spacing w:after="0" w:line="240" w:lineRule="auto"/>
                    <w:jc w:val="center"/>
                    <w:rPr>
                      <w:rFonts w:ascii="Arial" w:eastAsia="Times New Roman" w:hAnsi="Arial" w:cs="Arial"/>
                      <w:color w:val="000000"/>
                      <w:lang w:eastAsia="en-GB"/>
                    </w:rPr>
                  </w:pPr>
                </w:p>
              </w:tc>
              <w:tc>
                <w:tcPr>
                  <w:tcW w:w="1417" w:type="dxa"/>
                  <w:vMerge/>
                  <w:tcBorders>
                    <w:left w:val="nil"/>
                    <w:bottom w:val="single" w:sz="4" w:space="0" w:color="808080"/>
                    <w:right w:val="single" w:sz="4" w:space="0" w:color="808080"/>
                  </w:tcBorders>
                  <w:shd w:val="clear" w:color="auto" w:fill="F7CAAC" w:themeFill="accent2" w:themeFillTint="66"/>
                  <w:noWrap/>
                  <w:hideMark/>
                </w:tcPr>
                <w:p w14:paraId="07D2FBA3" w14:textId="3F684833" w:rsidR="003239B6" w:rsidRPr="006F4A41" w:rsidRDefault="003239B6" w:rsidP="00DD5728">
                  <w:pPr>
                    <w:spacing w:after="0" w:line="240" w:lineRule="auto"/>
                    <w:jc w:val="center"/>
                    <w:rPr>
                      <w:rFonts w:ascii="Arial" w:eastAsia="Times New Roman" w:hAnsi="Arial" w:cs="Arial"/>
                      <w:color w:val="000000"/>
                      <w:lang w:eastAsia="en-GB"/>
                    </w:rPr>
                  </w:pPr>
                </w:p>
              </w:tc>
              <w:tc>
                <w:tcPr>
                  <w:tcW w:w="1953" w:type="dxa"/>
                  <w:vMerge/>
                  <w:tcBorders>
                    <w:left w:val="nil"/>
                    <w:bottom w:val="single" w:sz="4" w:space="0" w:color="808080"/>
                    <w:right w:val="single" w:sz="4" w:space="0" w:color="808080"/>
                  </w:tcBorders>
                  <w:shd w:val="clear" w:color="auto" w:fill="F7CAAC" w:themeFill="accent2" w:themeFillTint="66"/>
                  <w:noWrap/>
                  <w:hideMark/>
                </w:tcPr>
                <w:p w14:paraId="440C48B9" w14:textId="68C41F04" w:rsidR="003239B6" w:rsidRPr="006F4A41" w:rsidRDefault="003239B6" w:rsidP="00DD5728">
                  <w:pPr>
                    <w:spacing w:after="0" w:line="240" w:lineRule="auto"/>
                    <w:jc w:val="center"/>
                    <w:rPr>
                      <w:rFonts w:ascii="Arial" w:eastAsia="Times New Roman" w:hAnsi="Arial" w:cs="Arial"/>
                      <w:color w:val="000000"/>
                      <w:lang w:eastAsia="en-GB"/>
                    </w:rPr>
                  </w:pPr>
                </w:p>
              </w:tc>
              <w:tc>
                <w:tcPr>
                  <w:tcW w:w="1722" w:type="dxa"/>
                  <w:vMerge/>
                  <w:tcBorders>
                    <w:left w:val="nil"/>
                    <w:bottom w:val="single" w:sz="4" w:space="0" w:color="808080"/>
                    <w:right w:val="single" w:sz="4" w:space="0" w:color="808080"/>
                  </w:tcBorders>
                  <w:shd w:val="clear" w:color="auto" w:fill="F7CAAC" w:themeFill="accent2" w:themeFillTint="66"/>
                  <w:noWrap/>
                  <w:hideMark/>
                </w:tcPr>
                <w:p w14:paraId="264EB700" w14:textId="18EA1D43" w:rsidR="003239B6" w:rsidRPr="006F4A41" w:rsidRDefault="003239B6" w:rsidP="00DD5728">
                  <w:pPr>
                    <w:spacing w:after="0" w:line="240" w:lineRule="auto"/>
                    <w:jc w:val="center"/>
                    <w:rPr>
                      <w:rFonts w:ascii="Arial" w:eastAsia="Times New Roman" w:hAnsi="Arial" w:cs="Arial"/>
                      <w:color w:val="000000"/>
                      <w:lang w:eastAsia="en-GB"/>
                    </w:rPr>
                  </w:pPr>
                </w:p>
              </w:tc>
              <w:tc>
                <w:tcPr>
                  <w:tcW w:w="2952" w:type="dxa"/>
                  <w:tcBorders>
                    <w:top w:val="nil"/>
                    <w:left w:val="nil"/>
                    <w:bottom w:val="single" w:sz="4" w:space="0" w:color="808080"/>
                    <w:right w:val="single" w:sz="4" w:space="0" w:color="808080"/>
                  </w:tcBorders>
                  <w:shd w:val="clear" w:color="000000" w:fill="FFFFFF"/>
                  <w:noWrap/>
                  <w:hideMark/>
                </w:tcPr>
                <w:p w14:paraId="44C337EF" w14:textId="6D714FAD" w:rsidR="003239B6" w:rsidRPr="006F4A41"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NB we have not distinguished between practical and theory. The practical is intrinsic to understanding and will be embedded into the theory. </w:t>
                  </w:r>
                  <w:r w:rsidRPr="006F4A41">
                    <w:rPr>
                      <w:rFonts w:ascii="Arial" w:eastAsia="Times New Roman" w:hAnsi="Arial" w:cs="Arial"/>
                      <w:color w:val="000000"/>
                      <w:lang w:eastAsia="en-GB"/>
                    </w:rPr>
                    <w:t> </w:t>
                  </w:r>
                </w:p>
                <w:p w14:paraId="10D6EF34" w14:textId="4C17B68E" w:rsidR="003239B6" w:rsidRPr="006F4A41" w:rsidRDefault="003239B6"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3239B6" w:rsidRPr="006F4A41" w14:paraId="37B2128A" w14:textId="77777777" w:rsidTr="00D30B21">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E31D22B" w14:textId="78EE154E" w:rsidR="003239B6" w:rsidRPr="004B124A" w:rsidRDefault="003239B6" w:rsidP="00DD5728">
                  <w:pPr>
                    <w:spacing w:after="0" w:line="240" w:lineRule="auto"/>
                    <w:rPr>
                      <w:rFonts w:ascii="Arial" w:eastAsia="Times New Roman" w:hAnsi="Arial" w:cs="Arial"/>
                      <w:color w:val="000000"/>
                      <w:sz w:val="18"/>
                      <w:szCs w:val="18"/>
                      <w:lang w:eastAsia="en-GB"/>
                    </w:rPr>
                  </w:pPr>
                  <w:r w:rsidRPr="004B124A">
                    <w:rPr>
                      <w:rFonts w:ascii="Arial" w:eastAsia="Times New Roman" w:hAnsi="Arial" w:cs="Arial"/>
                      <w:color w:val="000000"/>
                      <w:sz w:val="18"/>
                      <w:szCs w:val="18"/>
                      <w:lang w:eastAsia="en-GB"/>
                    </w:rPr>
                    <w:t>Coaching/ Mentoring (One to one or small group sessions involving coaching, mentoring or allied techniques led by an experienced practitioner.)</w:t>
                  </w:r>
                </w:p>
              </w:tc>
              <w:tc>
                <w:tcPr>
                  <w:tcW w:w="8069" w:type="dxa"/>
                  <w:gridSpan w:val="5"/>
                  <w:tcBorders>
                    <w:top w:val="nil"/>
                    <w:left w:val="nil"/>
                    <w:bottom w:val="single" w:sz="4" w:space="0" w:color="808080"/>
                    <w:right w:val="single" w:sz="4" w:space="0" w:color="808080"/>
                  </w:tcBorders>
                  <w:shd w:val="clear" w:color="auto" w:fill="F7CAAC" w:themeFill="accent2" w:themeFillTint="66"/>
                  <w:noWrap/>
                  <w:hideMark/>
                </w:tcPr>
                <w:p w14:paraId="6C623BEB" w14:textId="77777777" w:rsidR="003239B6" w:rsidRPr="006F4A41" w:rsidRDefault="003239B6"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7A48CFD8" w14:textId="41FFB827" w:rsidR="003239B6" w:rsidRPr="006F4A41" w:rsidRDefault="003239B6"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4CDE1612" w14:textId="7F0191F1" w:rsidR="003239B6" w:rsidRPr="006F4A41" w:rsidRDefault="003239B6"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3E9D66DE" w14:textId="37803781" w:rsidR="003239B6" w:rsidRPr="006F4A41" w:rsidRDefault="003239B6"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2CC5A06E" w14:textId="352DF1AE" w:rsidR="003239B6" w:rsidRPr="006F4A41" w:rsidRDefault="003239B6"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200BD908" w14:textId="77777777" w:rsidR="003239B6"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This is implicit within the face to face days. </w:t>
                  </w:r>
                </w:p>
                <w:p w14:paraId="39695CF0" w14:textId="097A7932" w:rsidR="003239B6" w:rsidRPr="006F4A41"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Coaching will also be part of the lesson study evaluation and feedback. </w:t>
                  </w:r>
                </w:p>
              </w:tc>
            </w:tr>
            <w:tr w:rsidR="00DD5728" w:rsidRPr="006F4A41" w14:paraId="4F3E801A" w14:textId="77777777" w:rsidTr="005349B7">
              <w:trPr>
                <w:trHeight w:val="90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457E10FF" w14:textId="7DEDB0A7" w:rsidR="00DD5728" w:rsidRPr="004B124A" w:rsidRDefault="00DD5728" w:rsidP="00DD5728">
                  <w:pPr>
                    <w:spacing w:after="0" w:line="240" w:lineRule="auto"/>
                    <w:rPr>
                      <w:rFonts w:ascii="Arial" w:eastAsia="Times New Roman" w:hAnsi="Arial" w:cs="Arial"/>
                      <w:color w:val="000000"/>
                      <w:sz w:val="18"/>
                      <w:szCs w:val="18"/>
                      <w:lang w:eastAsia="en-GB"/>
                    </w:rPr>
                  </w:pPr>
                  <w:r w:rsidRPr="004B124A">
                    <w:rPr>
                      <w:rFonts w:ascii="Arial" w:eastAsia="Times New Roman" w:hAnsi="Arial" w:cs="Arial"/>
                      <w:color w:val="000000"/>
                      <w:sz w:val="18"/>
                      <w:szCs w:val="18"/>
                      <w:lang w:eastAsia="en-GB"/>
                    </w:rPr>
                    <w:t>Monitored independent learning (e.g. online tutorial work)</w:t>
                  </w:r>
                </w:p>
              </w:tc>
              <w:tc>
                <w:tcPr>
                  <w:tcW w:w="1418" w:type="dxa"/>
                  <w:tcBorders>
                    <w:top w:val="nil"/>
                    <w:left w:val="nil"/>
                    <w:bottom w:val="single" w:sz="4" w:space="0" w:color="808080"/>
                    <w:right w:val="single" w:sz="4" w:space="0" w:color="808080"/>
                  </w:tcBorders>
                  <w:shd w:val="clear" w:color="auto" w:fill="F7CAAC" w:themeFill="accent2" w:themeFillTint="66"/>
                  <w:noWrap/>
                  <w:hideMark/>
                </w:tcPr>
                <w:p w14:paraId="105EF0D0" w14:textId="2F0A7EC8" w:rsidR="00DD5728" w:rsidRPr="006F4A41"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DD5728"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auto" w:fill="F7CAAC" w:themeFill="accent2" w:themeFillTint="66"/>
                  <w:noWrap/>
                  <w:hideMark/>
                </w:tcPr>
                <w:p w14:paraId="25491DCD" w14:textId="40AE9DE4"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3239B6">
                    <w:rPr>
                      <w:rFonts w:ascii="Arial" w:eastAsia="Times New Roman" w:hAnsi="Arial" w:cs="Arial"/>
                      <w:color w:val="000000"/>
                      <w:lang w:eastAsia="en-GB"/>
                    </w:rPr>
                    <w:t>2</w:t>
                  </w:r>
                </w:p>
              </w:tc>
              <w:tc>
                <w:tcPr>
                  <w:tcW w:w="1417" w:type="dxa"/>
                  <w:tcBorders>
                    <w:top w:val="nil"/>
                    <w:left w:val="nil"/>
                    <w:bottom w:val="single" w:sz="4" w:space="0" w:color="808080"/>
                    <w:right w:val="single" w:sz="4" w:space="0" w:color="808080"/>
                  </w:tcBorders>
                  <w:shd w:val="clear" w:color="auto" w:fill="F7CAAC" w:themeFill="accent2" w:themeFillTint="66"/>
                  <w:noWrap/>
                  <w:hideMark/>
                </w:tcPr>
                <w:p w14:paraId="01090AD5" w14:textId="05EC0880"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3239B6">
                    <w:rPr>
                      <w:rFonts w:ascii="Arial" w:eastAsia="Times New Roman" w:hAnsi="Arial" w:cs="Arial"/>
                      <w:color w:val="000000"/>
                      <w:lang w:eastAsia="en-GB"/>
                    </w:rPr>
                    <w:t>2</w:t>
                  </w:r>
                </w:p>
              </w:tc>
              <w:tc>
                <w:tcPr>
                  <w:tcW w:w="1953" w:type="dxa"/>
                  <w:tcBorders>
                    <w:top w:val="nil"/>
                    <w:left w:val="nil"/>
                    <w:bottom w:val="single" w:sz="4" w:space="0" w:color="808080"/>
                    <w:right w:val="single" w:sz="4" w:space="0" w:color="808080"/>
                  </w:tcBorders>
                  <w:shd w:val="clear" w:color="auto" w:fill="F7CAAC" w:themeFill="accent2" w:themeFillTint="66"/>
                  <w:noWrap/>
                  <w:hideMark/>
                </w:tcPr>
                <w:p w14:paraId="52F13A2F" w14:textId="4B0ED3B7" w:rsidR="00DD5728" w:rsidRPr="006F4A41"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DD5728"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auto" w:fill="F7CAAC" w:themeFill="accent2" w:themeFillTint="66"/>
                  <w:noWrap/>
                  <w:hideMark/>
                </w:tcPr>
                <w:p w14:paraId="0B520EBF" w14:textId="12DCFCAF"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3239B6">
                    <w:rPr>
                      <w:rFonts w:ascii="Arial" w:eastAsia="Times New Roman" w:hAnsi="Arial" w:cs="Arial"/>
                      <w:color w:val="000000"/>
                      <w:lang w:eastAsia="en-GB"/>
                    </w:rPr>
                    <w:t>2</w:t>
                  </w:r>
                </w:p>
              </w:tc>
              <w:tc>
                <w:tcPr>
                  <w:tcW w:w="2952" w:type="dxa"/>
                  <w:tcBorders>
                    <w:top w:val="nil"/>
                    <w:left w:val="nil"/>
                    <w:bottom w:val="single" w:sz="4" w:space="0" w:color="808080"/>
                    <w:right w:val="single" w:sz="4" w:space="0" w:color="808080"/>
                  </w:tcBorders>
                  <w:shd w:val="clear" w:color="000000" w:fill="FFFFFF"/>
                  <w:noWrap/>
                  <w:hideMark/>
                </w:tcPr>
                <w:p w14:paraId="36ED9F97" w14:textId="77777777" w:rsidR="003239B6" w:rsidRDefault="003239B6" w:rsidP="003239B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NB this is difficult to subdivide into the different disciplines as it will depend on the findings of the initial diagnostics. </w:t>
                  </w:r>
                </w:p>
                <w:p w14:paraId="043F820C" w14:textId="78220FF1" w:rsidR="00DD5728" w:rsidRPr="006F4A41" w:rsidRDefault="00DD5728" w:rsidP="00DD5728">
                  <w:pPr>
                    <w:spacing w:after="0" w:line="240" w:lineRule="auto"/>
                    <w:jc w:val="center"/>
                    <w:rPr>
                      <w:rFonts w:ascii="Arial" w:eastAsia="Times New Roman" w:hAnsi="Arial" w:cs="Arial"/>
                      <w:color w:val="000000"/>
                      <w:lang w:eastAsia="en-GB"/>
                    </w:rPr>
                  </w:pPr>
                </w:p>
              </w:tc>
            </w:tr>
            <w:tr w:rsidR="00DD5728" w:rsidRPr="006F4A41" w14:paraId="3666172D" w14:textId="77777777" w:rsidTr="005349B7">
              <w:trPr>
                <w:trHeight w:val="472"/>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ED551C3" w14:textId="0FA190EC" w:rsidR="00DD5728" w:rsidRPr="004B124A" w:rsidRDefault="00DD5728" w:rsidP="00DD5728">
                  <w:pPr>
                    <w:spacing w:after="0" w:line="240" w:lineRule="auto"/>
                    <w:rPr>
                      <w:rFonts w:ascii="Arial" w:eastAsia="Times New Roman" w:hAnsi="Arial" w:cs="Arial"/>
                      <w:color w:val="000000"/>
                      <w:sz w:val="18"/>
                      <w:szCs w:val="18"/>
                      <w:lang w:eastAsia="en-GB"/>
                    </w:rPr>
                  </w:pPr>
                  <w:r w:rsidRPr="004B124A">
                    <w:rPr>
                      <w:rFonts w:ascii="Arial" w:eastAsia="Times New Roman" w:hAnsi="Arial" w:cs="Arial"/>
                      <w:color w:val="000000"/>
                      <w:sz w:val="18"/>
                      <w:szCs w:val="18"/>
                      <w:lang w:eastAsia="en-GB"/>
                    </w:rPr>
                    <w:t>Other modes (please specify below)</w:t>
                  </w:r>
                </w:p>
                <w:p w14:paraId="44416C99" w14:textId="3987D0F4" w:rsidR="003239B6" w:rsidRPr="004B124A" w:rsidRDefault="003239B6" w:rsidP="00DD5728">
                  <w:pPr>
                    <w:spacing w:after="0" w:line="240" w:lineRule="auto"/>
                    <w:rPr>
                      <w:rFonts w:ascii="Arial" w:eastAsia="Times New Roman" w:hAnsi="Arial" w:cs="Arial"/>
                      <w:color w:val="000000"/>
                      <w:sz w:val="18"/>
                      <w:szCs w:val="18"/>
                      <w:lang w:eastAsia="en-GB"/>
                    </w:rPr>
                  </w:pPr>
                  <w:r w:rsidRPr="004B124A">
                    <w:rPr>
                      <w:rFonts w:ascii="Arial" w:eastAsia="Times New Roman" w:hAnsi="Arial" w:cs="Arial"/>
                      <w:color w:val="000000"/>
                      <w:sz w:val="18"/>
                      <w:szCs w:val="18"/>
                      <w:lang w:eastAsia="en-GB"/>
                    </w:rPr>
                    <w:t xml:space="preserve">Lesson study- pairs/small groups co-plan and observe each other’s lessons. 2 cycles of this with feedback from </w:t>
                  </w:r>
                  <w:r w:rsidR="004B124A" w:rsidRPr="004B124A">
                    <w:rPr>
                      <w:rFonts w:ascii="Arial" w:eastAsia="Times New Roman" w:hAnsi="Arial" w:cs="Arial"/>
                      <w:color w:val="000000"/>
                      <w:sz w:val="18"/>
                      <w:szCs w:val="18"/>
                      <w:lang w:eastAsia="en-GB"/>
                    </w:rPr>
                    <w:t xml:space="preserve">course leader. </w:t>
                  </w:r>
                </w:p>
                <w:p w14:paraId="42C8C1FB" w14:textId="77777777" w:rsidR="003239B6" w:rsidRPr="004B124A" w:rsidRDefault="003239B6" w:rsidP="00DD5728">
                  <w:pPr>
                    <w:spacing w:after="0" w:line="240" w:lineRule="auto"/>
                    <w:rPr>
                      <w:rFonts w:ascii="Arial" w:eastAsia="Times New Roman" w:hAnsi="Arial" w:cs="Arial"/>
                      <w:color w:val="000000"/>
                      <w:sz w:val="18"/>
                      <w:szCs w:val="18"/>
                      <w:lang w:eastAsia="en-GB"/>
                    </w:rPr>
                  </w:pPr>
                </w:p>
                <w:p w14:paraId="7AC977D8" w14:textId="77777777" w:rsidR="00DD5728" w:rsidRPr="004B124A" w:rsidRDefault="00DD5728" w:rsidP="00DD5728">
                  <w:pPr>
                    <w:spacing w:after="0" w:line="240" w:lineRule="auto"/>
                    <w:rPr>
                      <w:rFonts w:ascii="Arial" w:eastAsia="Times New Roman" w:hAnsi="Arial" w:cs="Arial"/>
                      <w:color w:val="000000"/>
                      <w:sz w:val="18"/>
                      <w:szCs w:val="18"/>
                      <w:lang w:eastAsia="en-GB"/>
                    </w:rPr>
                  </w:pPr>
                </w:p>
                <w:p w14:paraId="2BC53758" w14:textId="18AE88F9" w:rsidR="00DD5728" w:rsidRPr="004B124A" w:rsidRDefault="00DD5728" w:rsidP="00DD5728">
                  <w:pPr>
                    <w:spacing w:after="0" w:line="240" w:lineRule="auto"/>
                    <w:rPr>
                      <w:rFonts w:ascii="Arial" w:eastAsia="Times New Roman" w:hAnsi="Arial" w:cs="Arial"/>
                      <w:color w:val="000000"/>
                      <w:sz w:val="18"/>
                      <w:szCs w:val="18"/>
                      <w:lang w:eastAsia="en-GB"/>
                    </w:rPr>
                  </w:pPr>
                </w:p>
              </w:tc>
              <w:tc>
                <w:tcPr>
                  <w:tcW w:w="1418" w:type="dxa"/>
                  <w:tcBorders>
                    <w:top w:val="nil"/>
                    <w:left w:val="nil"/>
                    <w:bottom w:val="single" w:sz="4" w:space="0" w:color="808080"/>
                    <w:right w:val="single" w:sz="4" w:space="0" w:color="808080"/>
                  </w:tcBorders>
                  <w:shd w:val="clear" w:color="auto" w:fill="F7CAAC" w:themeFill="accent2" w:themeFillTint="66"/>
                  <w:noWrap/>
                  <w:hideMark/>
                </w:tcPr>
                <w:p w14:paraId="47E8F2E6" w14:textId="2AC6A016"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3239B6">
                    <w:rPr>
                      <w:rFonts w:ascii="Arial" w:eastAsia="Times New Roman" w:hAnsi="Arial" w:cs="Arial"/>
                      <w:color w:val="000000"/>
                      <w:lang w:eastAsia="en-GB"/>
                    </w:rPr>
                    <w:t>2</w:t>
                  </w:r>
                </w:p>
              </w:tc>
              <w:tc>
                <w:tcPr>
                  <w:tcW w:w="1559" w:type="dxa"/>
                  <w:tcBorders>
                    <w:top w:val="nil"/>
                    <w:left w:val="nil"/>
                    <w:bottom w:val="single" w:sz="4" w:space="0" w:color="808080"/>
                    <w:right w:val="single" w:sz="4" w:space="0" w:color="808080"/>
                  </w:tcBorders>
                  <w:shd w:val="clear" w:color="auto" w:fill="F7CAAC" w:themeFill="accent2" w:themeFillTint="66"/>
                  <w:noWrap/>
                  <w:hideMark/>
                </w:tcPr>
                <w:p w14:paraId="4EBB49C8" w14:textId="20F84708" w:rsidR="00DD5728" w:rsidRPr="006F4A41"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00DD5728"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auto" w:fill="F7CAAC" w:themeFill="accent2" w:themeFillTint="66"/>
                  <w:noWrap/>
                  <w:hideMark/>
                </w:tcPr>
                <w:p w14:paraId="020A4A89" w14:textId="6FC9CBFB" w:rsidR="00DD5728" w:rsidRPr="006F4A41"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00DD5728"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auto" w:fill="F7CAAC" w:themeFill="accent2" w:themeFillTint="66"/>
                  <w:noWrap/>
                  <w:hideMark/>
                </w:tcPr>
                <w:p w14:paraId="5FDA2B2E" w14:textId="2BA3405D"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3239B6">
                    <w:rPr>
                      <w:rFonts w:ascii="Arial" w:eastAsia="Times New Roman" w:hAnsi="Arial" w:cs="Arial"/>
                      <w:color w:val="000000"/>
                      <w:lang w:eastAsia="en-GB"/>
                    </w:rPr>
                    <w:t>2</w:t>
                  </w:r>
                </w:p>
              </w:tc>
              <w:tc>
                <w:tcPr>
                  <w:tcW w:w="1722" w:type="dxa"/>
                  <w:tcBorders>
                    <w:top w:val="nil"/>
                    <w:left w:val="nil"/>
                    <w:bottom w:val="single" w:sz="4" w:space="0" w:color="808080"/>
                    <w:right w:val="single" w:sz="4" w:space="0" w:color="808080"/>
                  </w:tcBorders>
                  <w:shd w:val="clear" w:color="auto" w:fill="F7CAAC" w:themeFill="accent2" w:themeFillTint="66"/>
                  <w:noWrap/>
                  <w:hideMark/>
                </w:tcPr>
                <w:p w14:paraId="4FB77381" w14:textId="30E90415" w:rsidR="00DD5728" w:rsidRPr="006F4A41" w:rsidRDefault="003239B6" w:rsidP="00DD572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DD5728"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1997B5A1" w14:textId="77777777"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55103CCB" w14:textId="77777777" w:rsidR="003239B6" w:rsidRDefault="003239B6" w:rsidP="003239B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NB this is difficult to subdivide into the different disciplines as it will depend on the findings of the initial diagnostics. </w:t>
                  </w:r>
                </w:p>
                <w:p w14:paraId="141AC3D8" w14:textId="50D5151C" w:rsidR="00DD5728" w:rsidRPr="006F4A41" w:rsidRDefault="00DD5728" w:rsidP="00DD572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DD5728" w:rsidRPr="006F4A41" w14:paraId="44E6A69E" w14:textId="77777777" w:rsidTr="005349B7">
              <w:trPr>
                <w:trHeight w:val="55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3EE0A2AC" w:rsidR="00DD5728" w:rsidRPr="006F4A41" w:rsidRDefault="00DD5728" w:rsidP="00DD5728">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Total hours</w:t>
                  </w:r>
                </w:p>
              </w:tc>
              <w:tc>
                <w:tcPr>
                  <w:tcW w:w="1418" w:type="dxa"/>
                  <w:tcBorders>
                    <w:top w:val="nil"/>
                    <w:left w:val="nil"/>
                    <w:bottom w:val="single" w:sz="4" w:space="0" w:color="808080"/>
                    <w:right w:val="single" w:sz="4" w:space="0" w:color="808080"/>
                  </w:tcBorders>
                  <w:shd w:val="clear" w:color="auto" w:fill="F7CAAC" w:themeFill="accent2" w:themeFillTint="66"/>
                  <w:noWrap/>
                  <w:vAlign w:val="bottom"/>
                  <w:hideMark/>
                </w:tcPr>
                <w:p w14:paraId="5A4DF1EE" w14:textId="120BCC9A" w:rsidR="00DD5728" w:rsidRPr="006F4A41" w:rsidRDefault="003239B6" w:rsidP="00DD57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1559" w:type="dxa"/>
                  <w:tcBorders>
                    <w:top w:val="nil"/>
                    <w:left w:val="nil"/>
                    <w:bottom w:val="single" w:sz="4" w:space="0" w:color="808080"/>
                    <w:right w:val="single" w:sz="4" w:space="0" w:color="808080"/>
                  </w:tcBorders>
                  <w:shd w:val="clear" w:color="auto" w:fill="F7CAAC" w:themeFill="accent2" w:themeFillTint="66"/>
                  <w:noWrap/>
                  <w:vAlign w:val="bottom"/>
                  <w:hideMark/>
                </w:tcPr>
                <w:p w14:paraId="7B471B69" w14:textId="2462F244" w:rsidR="00DD5728" w:rsidRPr="006F4A41" w:rsidRDefault="003239B6" w:rsidP="00DD57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w:t>
                  </w:r>
                </w:p>
              </w:tc>
              <w:tc>
                <w:tcPr>
                  <w:tcW w:w="1417" w:type="dxa"/>
                  <w:tcBorders>
                    <w:top w:val="nil"/>
                    <w:left w:val="nil"/>
                    <w:bottom w:val="single" w:sz="4" w:space="0" w:color="808080"/>
                    <w:right w:val="single" w:sz="4" w:space="0" w:color="808080"/>
                  </w:tcBorders>
                  <w:shd w:val="clear" w:color="auto" w:fill="F7CAAC" w:themeFill="accent2" w:themeFillTint="66"/>
                  <w:noWrap/>
                  <w:vAlign w:val="bottom"/>
                  <w:hideMark/>
                </w:tcPr>
                <w:p w14:paraId="71F3972F" w14:textId="02F4F12D" w:rsidR="00DD5728" w:rsidRPr="006F4A41" w:rsidRDefault="003239B6" w:rsidP="00DD57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r w:rsidR="00DD5728" w:rsidRPr="006F4A41">
                    <w:rPr>
                      <w:rFonts w:ascii="Arial" w:eastAsia="Times New Roman" w:hAnsi="Arial" w:cs="Arial"/>
                      <w:color w:val="000000"/>
                      <w:lang w:eastAsia="en-GB"/>
                    </w:rPr>
                    <w:t>0</w:t>
                  </w:r>
                </w:p>
              </w:tc>
              <w:tc>
                <w:tcPr>
                  <w:tcW w:w="1953" w:type="dxa"/>
                  <w:tcBorders>
                    <w:top w:val="nil"/>
                    <w:left w:val="nil"/>
                    <w:bottom w:val="single" w:sz="4" w:space="0" w:color="808080"/>
                    <w:right w:val="single" w:sz="4" w:space="0" w:color="808080"/>
                  </w:tcBorders>
                  <w:shd w:val="clear" w:color="auto" w:fill="F7CAAC" w:themeFill="accent2" w:themeFillTint="66"/>
                  <w:noWrap/>
                  <w:vAlign w:val="bottom"/>
                  <w:hideMark/>
                </w:tcPr>
                <w:p w14:paraId="28FBD2A6" w14:textId="49078FEF" w:rsidR="00DD5728" w:rsidRPr="006F4A41" w:rsidRDefault="003239B6" w:rsidP="00DD57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w:t>
                  </w:r>
                </w:p>
              </w:tc>
              <w:tc>
                <w:tcPr>
                  <w:tcW w:w="1722" w:type="dxa"/>
                  <w:tcBorders>
                    <w:top w:val="nil"/>
                    <w:left w:val="nil"/>
                    <w:bottom w:val="single" w:sz="4" w:space="0" w:color="808080"/>
                    <w:right w:val="single" w:sz="4" w:space="0" w:color="808080"/>
                  </w:tcBorders>
                  <w:shd w:val="clear" w:color="auto" w:fill="F7CAAC" w:themeFill="accent2" w:themeFillTint="66"/>
                  <w:noWrap/>
                  <w:vAlign w:val="bottom"/>
                  <w:hideMark/>
                </w:tcPr>
                <w:p w14:paraId="5FCCE56C" w14:textId="50C021DC" w:rsidR="00DD5728" w:rsidRPr="006F4A41" w:rsidRDefault="003239B6" w:rsidP="00DD57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2952" w:type="dxa"/>
                  <w:tcBorders>
                    <w:top w:val="nil"/>
                    <w:left w:val="nil"/>
                    <w:bottom w:val="single" w:sz="4" w:space="0" w:color="808080"/>
                    <w:right w:val="single" w:sz="4" w:space="0" w:color="808080"/>
                  </w:tcBorders>
                  <w:shd w:val="clear" w:color="000000" w:fill="FFFFFF"/>
                  <w:noWrap/>
                  <w:vAlign w:val="bottom"/>
                  <w:hideMark/>
                </w:tcPr>
                <w:p w14:paraId="5315CAF3" w14:textId="359779B8" w:rsidR="00DD5728" w:rsidRDefault="00DD5728" w:rsidP="00DD5728">
                  <w:pPr>
                    <w:spacing w:after="0" w:line="240" w:lineRule="auto"/>
                    <w:jc w:val="right"/>
                    <w:rPr>
                      <w:rFonts w:ascii="Arial" w:eastAsia="Times New Roman" w:hAnsi="Arial" w:cs="Arial"/>
                      <w:color w:val="000000"/>
                      <w:lang w:eastAsia="en-GB"/>
                    </w:rPr>
                  </w:pPr>
                </w:p>
                <w:p w14:paraId="062AF498" w14:textId="38F62690" w:rsidR="00DD5728" w:rsidRDefault="00DD5728" w:rsidP="00DD5728">
                  <w:pPr>
                    <w:spacing w:after="0" w:line="240" w:lineRule="auto"/>
                    <w:jc w:val="right"/>
                    <w:rPr>
                      <w:rFonts w:ascii="Arial" w:eastAsia="Times New Roman" w:hAnsi="Arial" w:cs="Arial"/>
                      <w:color w:val="000000"/>
                      <w:lang w:eastAsia="en-GB"/>
                    </w:rPr>
                  </w:pPr>
                </w:p>
                <w:p w14:paraId="4B7EDA0A" w14:textId="77777777" w:rsidR="00DD5728" w:rsidRDefault="00DD5728" w:rsidP="00DD5728">
                  <w:pPr>
                    <w:spacing w:after="0" w:line="240" w:lineRule="auto"/>
                    <w:jc w:val="right"/>
                    <w:rPr>
                      <w:rFonts w:ascii="Arial" w:eastAsia="Times New Roman" w:hAnsi="Arial" w:cs="Arial"/>
                      <w:color w:val="000000"/>
                      <w:lang w:eastAsia="en-GB"/>
                    </w:rPr>
                  </w:pPr>
                </w:p>
                <w:p w14:paraId="528A4623" w14:textId="270F49A1" w:rsidR="00DD5728" w:rsidRPr="006F4A41" w:rsidRDefault="003239B6" w:rsidP="00DD57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40</w:t>
                  </w:r>
                </w:p>
              </w:tc>
            </w:tr>
          </w:tbl>
          <w:p w14:paraId="6B85EE84" w14:textId="0C1C40EE" w:rsidR="00BD3FBC" w:rsidRPr="006F4A41" w:rsidRDefault="00BD3FBC"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14:paraId="1CAAE420" w14:textId="77777777" w:rsidTr="00401CEE">
              <w:tc>
                <w:tcPr>
                  <w:tcW w:w="12474" w:type="dxa"/>
                  <w:shd w:val="clear" w:color="auto" w:fill="A6A6A6" w:themeFill="background1" w:themeFillShade="A6"/>
                </w:tcPr>
                <w:p w14:paraId="04DAF439" w14:textId="7AC904C5" w:rsidR="002F7A29" w:rsidRPr="002F7A29" w:rsidRDefault="002F7A29" w:rsidP="00D33BE7">
                  <w:pPr>
                    <w:rPr>
                      <w:rFonts w:ascii="Arial" w:hAnsi="Arial" w:cs="Arial"/>
                      <w:b/>
                      <w:color w:val="000000"/>
                    </w:rPr>
                  </w:pPr>
                  <w:r>
                    <w:rPr>
                      <w:rFonts w:ascii="Arial" w:hAnsi="Arial" w:cs="Arial"/>
                      <w:b/>
                      <w:color w:val="000000"/>
                    </w:rPr>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835" w:type="dxa"/>
                  <w:shd w:val="clear" w:color="auto" w:fill="A6A6A6" w:themeFill="background1" w:themeFillShade="A6"/>
                </w:tcPr>
                <w:p w14:paraId="5ED7ECF9" w14:textId="2016743C" w:rsidR="002F7A29" w:rsidRPr="002F7A29" w:rsidRDefault="002F7A29" w:rsidP="00D33BE7">
                  <w:pPr>
                    <w:rPr>
                      <w:rFonts w:ascii="Arial" w:hAnsi="Arial" w:cs="Arial"/>
                      <w:b/>
                      <w:color w:val="000000"/>
                    </w:rPr>
                  </w:pPr>
                  <w:r>
                    <w:rPr>
                      <w:rFonts w:ascii="Arial" w:hAnsi="Arial" w:cs="Arial"/>
                      <w:b/>
                      <w:color w:val="000000"/>
                    </w:rPr>
                    <w:t>Notes</w:t>
                  </w:r>
                </w:p>
              </w:tc>
            </w:tr>
            <w:tr w:rsidR="002F7A29" w14:paraId="6A6E0534" w14:textId="77777777" w:rsidTr="00401CEE">
              <w:tc>
                <w:tcPr>
                  <w:tcW w:w="12474" w:type="dxa"/>
                  <w:shd w:val="clear" w:color="auto" w:fill="D9D9D9" w:themeFill="background1" w:themeFillShade="D9"/>
                </w:tcPr>
                <w:p w14:paraId="62FE6708" w14:textId="0E85B952" w:rsidR="002F7A29" w:rsidRPr="002F7A29" w:rsidRDefault="002F7A29" w:rsidP="00D33BE7">
                  <w:pPr>
                    <w:rPr>
                      <w:rFonts w:ascii="Arial" w:hAnsi="Arial" w:cs="Arial"/>
                      <w:b/>
                      <w:color w:val="000000"/>
                    </w:rPr>
                  </w:pPr>
                  <w:r w:rsidRPr="002F7A29">
                    <w:rPr>
                      <w:rFonts w:ascii="Arial" w:hAnsi="Arial" w:cs="Arial"/>
                      <w:b/>
                      <w:color w:val="000000"/>
                    </w:rPr>
                    <w:t>Practical Work</w:t>
                  </w:r>
                </w:p>
              </w:tc>
              <w:tc>
                <w:tcPr>
                  <w:tcW w:w="2835" w:type="dxa"/>
                  <w:vMerge w:val="restart"/>
                </w:tcPr>
                <w:p w14:paraId="54C37BB7" w14:textId="1ACC4373" w:rsidR="002F7A29" w:rsidRDefault="00C45DC4"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F7A29" w14:paraId="17C38131" w14:textId="77777777" w:rsidTr="00401CEE">
              <w:tc>
                <w:tcPr>
                  <w:tcW w:w="12474" w:type="dxa"/>
                </w:tcPr>
                <w:p w14:paraId="3B33DE31" w14:textId="77777777" w:rsidR="002F7A29" w:rsidRPr="004B124A" w:rsidRDefault="002F7A29" w:rsidP="00D33BE7">
                  <w:pPr>
                    <w:rPr>
                      <w:rFonts w:ascii="Arial" w:hAnsi="Arial" w:cs="Arial"/>
                      <w:color w:val="000000" w:themeColor="text1"/>
                    </w:rPr>
                  </w:pPr>
                </w:p>
                <w:p w14:paraId="57E23173" w14:textId="6C1CC8D7" w:rsidR="00C45DC4" w:rsidRPr="004B124A" w:rsidRDefault="00F82420" w:rsidP="00D33BE7">
                  <w:pPr>
                    <w:rPr>
                      <w:rFonts w:ascii="Arial" w:hAnsi="Arial" w:cs="Arial"/>
                      <w:color w:val="000000" w:themeColor="text1"/>
                    </w:rPr>
                  </w:pPr>
                  <w:r w:rsidRPr="004B124A">
                    <w:rPr>
                      <w:rFonts w:ascii="Arial" w:hAnsi="Arial" w:cs="Arial"/>
                      <w:color w:val="000000" w:themeColor="text1"/>
                    </w:rPr>
                    <w:t xml:space="preserve">Key </w:t>
                  </w:r>
                  <w:proofErr w:type="spellStart"/>
                  <w:r w:rsidRPr="004B124A">
                    <w:rPr>
                      <w:rFonts w:ascii="Arial" w:hAnsi="Arial" w:cs="Arial"/>
                      <w:color w:val="000000" w:themeColor="text1"/>
                    </w:rPr>
                    <w:t>practicals</w:t>
                  </w:r>
                  <w:proofErr w:type="spellEnd"/>
                  <w:r w:rsidRPr="004B124A">
                    <w:rPr>
                      <w:rFonts w:ascii="Arial" w:hAnsi="Arial" w:cs="Arial"/>
                      <w:color w:val="000000" w:themeColor="text1"/>
                    </w:rPr>
                    <w:t xml:space="preserve"> will be embedded and contextualised within the relevant topics, Group will work in pairs or triplets to dissect key </w:t>
                  </w:r>
                  <w:proofErr w:type="spellStart"/>
                  <w:r w:rsidRPr="004B124A">
                    <w:rPr>
                      <w:rFonts w:ascii="Arial" w:hAnsi="Arial" w:cs="Arial"/>
                      <w:color w:val="000000" w:themeColor="text1"/>
                    </w:rPr>
                    <w:t>practicals</w:t>
                  </w:r>
                  <w:proofErr w:type="spellEnd"/>
                  <w:r w:rsidRPr="004B124A">
                    <w:rPr>
                      <w:rFonts w:ascii="Arial" w:hAnsi="Arial" w:cs="Arial"/>
                      <w:color w:val="000000" w:themeColor="text1"/>
                    </w:rPr>
                    <w:t xml:space="preserve"> with an emphasis on meta-cognition and how to use key vocabulary to avoid scientific mis</w:t>
                  </w:r>
                  <w:r w:rsidR="0087044A" w:rsidRPr="004B124A">
                    <w:rPr>
                      <w:rFonts w:ascii="Arial" w:hAnsi="Arial" w:cs="Arial"/>
                      <w:color w:val="000000" w:themeColor="text1"/>
                    </w:rPr>
                    <w:t xml:space="preserve">conceptions. Risk assessment information will be provided for all </w:t>
                  </w:r>
                  <w:proofErr w:type="spellStart"/>
                  <w:r w:rsidR="0087044A" w:rsidRPr="004B124A">
                    <w:rPr>
                      <w:rFonts w:ascii="Arial" w:hAnsi="Arial" w:cs="Arial"/>
                      <w:color w:val="000000" w:themeColor="text1"/>
                    </w:rPr>
                    <w:t>practicals</w:t>
                  </w:r>
                  <w:proofErr w:type="spellEnd"/>
                  <w:r w:rsidR="0087044A" w:rsidRPr="004B124A">
                    <w:rPr>
                      <w:rFonts w:ascii="Arial" w:hAnsi="Arial" w:cs="Arial"/>
                      <w:color w:val="000000" w:themeColor="text1"/>
                    </w:rPr>
                    <w:t xml:space="preserve">, including an emphasis on safety in the classroom. </w:t>
                  </w:r>
                  <w:r w:rsidRPr="004B124A">
                    <w:rPr>
                      <w:rFonts w:ascii="Arial" w:hAnsi="Arial" w:cs="Arial"/>
                      <w:color w:val="000000" w:themeColor="text1"/>
                    </w:rPr>
                    <w:t xml:space="preserve"> </w:t>
                  </w:r>
                </w:p>
                <w:p w14:paraId="7B8AE6D5" w14:textId="77777777" w:rsidR="00C45DC4" w:rsidRPr="004B124A" w:rsidRDefault="00C45DC4" w:rsidP="00D33BE7">
                  <w:pPr>
                    <w:rPr>
                      <w:rFonts w:ascii="Arial" w:hAnsi="Arial" w:cs="Arial"/>
                      <w:color w:val="000000" w:themeColor="text1"/>
                    </w:rPr>
                  </w:pPr>
                </w:p>
                <w:p w14:paraId="4A4A456D" w14:textId="77777777" w:rsidR="00C45DC4" w:rsidRPr="004B124A" w:rsidRDefault="00C45DC4" w:rsidP="00D33BE7">
                  <w:pPr>
                    <w:rPr>
                      <w:rFonts w:ascii="Arial" w:hAnsi="Arial" w:cs="Arial"/>
                      <w:color w:val="000000" w:themeColor="text1"/>
                    </w:rPr>
                  </w:pPr>
                </w:p>
                <w:p w14:paraId="6E4076DD" w14:textId="77777777" w:rsidR="00C45DC4" w:rsidRPr="004B124A" w:rsidRDefault="00C45DC4" w:rsidP="00D33BE7">
                  <w:pPr>
                    <w:rPr>
                      <w:rFonts w:ascii="Arial" w:hAnsi="Arial" w:cs="Arial"/>
                      <w:color w:val="000000" w:themeColor="text1"/>
                    </w:rPr>
                  </w:pPr>
                </w:p>
                <w:p w14:paraId="19CA810C" w14:textId="1E564276" w:rsidR="00C45DC4" w:rsidRPr="004B124A" w:rsidRDefault="00C45DC4" w:rsidP="00D33BE7">
                  <w:pPr>
                    <w:rPr>
                      <w:rFonts w:ascii="Arial" w:hAnsi="Arial" w:cs="Arial"/>
                      <w:color w:val="000000" w:themeColor="text1"/>
                    </w:rPr>
                  </w:pPr>
                </w:p>
              </w:tc>
              <w:tc>
                <w:tcPr>
                  <w:tcW w:w="2835" w:type="dxa"/>
                  <w:vMerge/>
                </w:tcPr>
                <w:p w14:paraId="08C56515" w14:textId="77777777" w:rsidR="002F7A29" w:rsidRDefault="002F7A29" w:rsidP="00D33BE7">
                  <w:pPr>
                    <w:rPr>
                      <w:rFonts w:ascii="Arial" w:hAnsi="Arial" w:cs="Arial"/>
                      <w:color w:val="000000"/>
                    </w:rPr>
                  </w:pPr>
                </w:p>
              </w:tc>
            </w:tr>
            <w:tr w:rsidR="00C45DC4" w14:paraId="20ABBE00" w14:textId="77777777" w:rsidTr="00401CEE">
              <w:tc>
                <w:tcPr>
                  <w:tcW w:w="12474" w:type="dxa"/>
                  <w:shd w:val="clear" w:color="auto" w:fill="D9D9D9" w:themeFill="background1" w:themeFillShade="D9"/>
                </w:tcPr>
                <w:p w14:paraId="423FEEDF" w14:textId="74266552" w:rsidR="00C45DC4" w:rsidRPr="004B124A" w:rsidRDefault="00C45DC4" w:rsidP="00D33BE7">
                  <w:pPr>
                    <w:rPr>
                      <w:rFonts w:ascii="Arial" w:hAnsi="Arial" w:cs="Arial"/>
                      <w:b/>
                      <w:color w:val="000000" w:themeColor="text1"/>
                    </w:rPr>
                  </w:pPr>
                  <w:r w:rsidRPr="004B124A">
                    <w:rPr>
                      <w:rFonts w:ascii="Arial" w:hAnsi="Arial" w:cs="Arial"/>
                      <w:b/>
                      <w:color w:val="000000" w:themeColor="text1"/>
                    </w:rPr>
                    <w:t>Subject knowledge</w:t>
                  </w:r>
                </w:p>
              </w:tc>
              <w:tc>
                <w:tcPr>
                  <w:tcW w:w="2835" w:type="dxa"/>
                  <w:vMerge w:val="restart"/>
                </w:tcPr>
                <w:p w14:paraId="29BBB216" w14:textId="65CE9971" w:rsidR="00C45DC4" w:rsidRDefault="00C45DC4"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C45DC4" w14:paraId="6B832293" w14:textId="77777777" w:rsidTr="00401CEE">
              <w:tc>
                <w:tcPr>
                  <w:tcW w:w="12474" w:type="dxa"/>
                </w:tcPr>
                <w:p w14:paraId="04512531" w14:textId="77777777" w:rsidR="00C45DC4" w:rsidRPr="004B124A" w:rsidRDefault="00C45DC4" w:rsidP="00D33BE7">
                  <w:pPr>
                    <w:rPr>
                      <w:rFonts w:ascii="Arial" w:hAnsi="Arial" w:cs="Arial"/>
                      <w:color w:val="000000" w:themeColor="text1"/>
                    </w:rPr>
                  </w:pPr>
                </w:p>
                <w:p w14:paraId="521400F2" w14:textId="6A976060" w:rsidR="00C45DC4" w:rsidRPr="004B124A" w:rsidRDefault="00576A7A" w:rsidP="00D33BE7">
                  <w:pPr>
                    <w:rPr>
                      <w:rFonts w:ascii="Arial" w:hAnsi="Arial" w:cs="Arial"/>
                      <w:color w:val="000000" w:themeColor="text1"/>
                    </w:rPr>
                  </w:pPr>
                  <w:r w:rsidRPr="004B124A">
                    <w:rPr>
                      <w:rFonts w:ascii="Arial" w:hAnsi="Arial" w:cs="Arial"/>
                      <w:color w:val="000000" w:themeColor="text1"/>
                    </w:rPr>
                    <w:t xml:space="preserve">A small cohort size of 5 will allow us to have an interactive tutorial-style format.  Pre-session diagnostic testing via the IOP TSST platform will enable the course leader to have a clear idea of the specific content needed in order to allow content to be personalised.  Course leader will use the IOP TSST materials, together with other IOP materials as a stimulus. </w:t>
                  </w:r>
                  <w:r w:rsidR="0087044A" w:rsidRPr="004B124A">
                    <w:rPr>
                      <w:rFonts w:ascii="Arial" w:hAnsi="Arial" w:cs="Arial"/>
                      <w:color w:val="000000" w:themeColor="text1"/>
                    </w:rPr>
                    <w:t xml:space="preserve">Key GCSE practice </w:t>
                  </w:r>
                  <w:r w:rsidRPr="004B124A">
                    <w:rPr>
                      <w:rFonts w:ascii="Arial" w:hAnsi="Arial" w:cs="Arial"/>
                      <w:color w:val="000000" w:themeColor="text1"/>
                    </w:rPr>
                    <w:t xml:space="preserve">questions will be clearly embedded into each session, together with discussion of common misconceptions and errors. Peer tutorials will also be used where appropriate in order to allow participants to gain confidence in modelling key learning opportunities. </w:t>
                  </w:r>
                </w:p>
                <w:p w14:paraId="7F3961CB" w14:textId="77777777" w:rsidR="00C45DC4" w:rsidRPr="004B124A" w:rsidRDefault="00C45DC4" w:rsidP="00D33BE7">
                  <w:pPr>
                    <w:rPr>
                      <w:rFonts w:ascii="Arial" w:hAnsi="Arial" w:cs="Arial"/>
                      <w:color w:val="000000" w:themeColor="text1"/>
                    </w:rPr>
                  </w:pPr>
                </w:p>
                <w:p w14:paraId="0D0A3270" w14:textId="77777777" w:rsidR="00C45DC4" w:rsidRPr="004B124A" w:rsidRDefault="00C45DC4" w:rsidP="00D33BE7">
                  <w:pPr>
                    <w:rPr>
                      <w:rFonts w:ascii="Arial" w:hAnsi="Arial" w:cs="Arial"/>
                      <w:color w:val="000000" w:themeColor="text1"/>
                    </w:rPr>
                  </w:pPr>
                </w:p>
                <w:p w14:paraId="77A4CED4" w14:textId="5769B323" w:rsidR="00C45DC4" w:rsidRPr="004B124A" w:rsidRDefault="00C45DC4" w:rsidP="00D33BE7">
                  <w:pPr>
                    <w:rPr>
                      <w:rFonts w:ascii="Arial" w:hAnsi="Arial" w:cs="Arial"/>
                      <w:color w:val="000000" w:themeColor="text1"/>
                    </w:rPr>
                  </w:pPr>
                </w:p>
              </w:tc>
              <w:tc>
                <w:tcPr>
                  <w:tcW w:w="2835" w:type="dxa"/>
                  <w:vMerge/>
                </w:tcPr>
                <w:p w14:paraId="089F8A23" w14:textId="77777777" w:rsidR="00C45DC4" w:rsidRDefault="00C45DC4" w:rsidP="00D33BE7">
                  <w:pPr>
                    <w:rPr>
                      <w:rFonts w:ascii="Arial" w:hAnsi="Arial" w:cs="Arial"/>
                      <w:color w:val="000000"/>
                    </w:rPr>
                  </w:pPr>
                </w:p>
              </w:tc>
            </w:tr>
            <w:tr w:rsidR="00C45DC4" w14:paraId="4127CF3B" w14:textId="77777777" w:rsidTr="00401CEE">
              <w:tc>
                <w:tcPr>
                  <w:tcW w:w="12474" w:type="dxa"/>
                  <w:shd w:val="clear" w:color="auto" w:fill="D9D9D9" w:themeFill="background1" w:themeFillShade="D9"/>
                </w:tcPr>
                <w:p w14:paraId="20D254A5" w14:textId="779E32FF" w:rsidR="00C45DC4" w:rsidRPr="004B124A" w:rsidRDefault="00C45DC4" w:rsidP="00D33BE7">
                  <w:pPr>
                    <w:rPr>
                      <w:rFonts w:ascii="Arial" w:hAnsi="Arial" w:cs="Arial"/>
                      <w:b/>
                      <w:color w:val="000000" w:themeColor="text1"/>
                    </w:rPr>
                  </w:pPr>
                  <w:r w:rsidRPr="004B124A">
                    <w:rPr>
                      <w:rFonts w:ascii="Arial" w:hAnsi="Arial" w:cs="Arial"/>
                      <w:b/>
                      <w:color w:val="000000" w:themeColor="text1"/>
                    </w:rPr>
                    <w:t>Pedagogical Content Knowledge</w:t>
                  </w:r>
                </w:p>
              </w:tc>
              <w:tc>
                <w:tcPr>
                  <w:tcW w:w="2835" w:type="dxa"/>
                  <w:vMerge w:val="restart"/>
                </w:tcPr>
                <w:p w14:paraId="4005FF81" w14:textId="72CADBF4" w:rsidR="00C45DC4" w:rsidRDefault="00C45DC4" w:rsidP="00C45DC4">
                  <w:pPr>
                    <w:rPr>
                      <w:rFonts w:ascii="Arial" w:hAnsi="Arial" w:cs="Arial"/>
                      <w:color w:val="000000"/>
                    </w:rPr>
                  </w:pPr>
                  <w:r>
                    <w:rPr>
                      <w:rFonts w:ascii="Arial" w:hAnsi="Arial" w:cs="Arial"/>
                      <w:color w:val="000000"/>
                    </w:rPr>
                    <w:t>Give further details on methodology used (e.g. pupils, misconceptions/naïve conceptions)</w:t>
                  </w:r>
                </w:p>
              </w:tc>
            </w:tr>
            <w:tr w:rsidR="00C45DC4" w14:paraId="124E9D6D" w14:textId="77777777" w:rsidTr="004B124A">
              <w:tc>
                <w:tcPr>
                  <w:tcW w:w="12474" w:type="dxa"/>
                  <w:shd w:val="clear" w:color="auto" w:fill="auto"/>
                </w:tcPr>
                <w:p w14:paraId="6A5565D0" w14:textId="6D69C00E" w:rsidR="00C45DC4" w:rsidRPr="004B124A" w:rsidRDefault="00472807" w:rsidP="00D33BE7">
                  <w:pPr>
                    <w:rPr>
                      <w:rFonts w:ascii="Arial" w:hAnsi="Arial" w:cs="Arial"/>
                      <w:color w:val="000000" w:themeColor="text1"/>
                    </w:rPr>
                  </w:pPr>
                  <w:r w:rsidRPr="004B124A">
                    <w:rPr>
                      <w:rFonts w:ascii="Arial" w:hAnsi="Arial" w:cs="Arial"/>
                      <w:color w:val="000000" w:themeColor="text1"/>
                    </w:rPr>
                    <w:t xml:space="preserve">Common pupil responses will be discussed throughout the sessions. </w:t>
                  </w:r>
                  <w:r w:rsidR="00EA4145" w:rsidRPr="004B124A">
                    <w:rPr>
                      <w:rFonts w:ascii="Arial" w:hAnsi="Arial" w:cs="Arial"/>
                      <w:color w:val="000000" w:themeColor="text1"/>
                    </w:rPr>
                    <w:t xml:space="preserve">There will be a pedagogical narrative running alongside the delivery of subject knowledge- it is essential to not consider either in isolation. Limitations of models used will also be discussed. </w:t>
                  </w:r>
                </w:p>
                <w:p w14:paraId="675E349D" w14:textId="77777777" w:rsidR="00C45DC4" w:rsidRPr="004B124A" w:rsidRDefault="00C45DC4" w:rsidP="00D33BE7">
                  <w:pPr>
                    <w:rPr>
                      <w:rFonts w:ascii="Arial" w:hAnsi="Arial" w:cs="Arial"/>
                      <w:color w:val="000000" w:themeColor="text1"/>
                    </w:rPr>
                  </w:pPr>
                </w:p>
                <w:p w14:paraId="60A6A409" w14:textId="77777777" w:rsidR="00C45DC4" w:rsidRPr="004B124A" w:rsidRDefault="00C45DC4" w:rsidP="00D33BE7">
                  <w:pPr>
                    <w:rPr>
                      <w:rFonts w:ascii="Arial" w:hAnsi="Arial" w:cs="Arial"/>
                      <w:color w:val="000000" w:themeColor="text1"/>
                    </w:rPr>
                  </w:pPr>
                </w:p>
                <w:p w14:paraId="51D8A1C8" w14:textId="77777777" w:rsidR="00C45DC4" w:rsidRPr="004B124A" w:rsidRDefault="00C45DC4" w:rsidP="00D33BE7">
                  <w:pPr>
                    <w:rPr>
                      <w:rFonts w:ascii="Arial" w:hAnsi="Arial" w:cs="Arial"/>
                      <w:color w:val="000000" w:themeColor="text1"/>
                    </w:rPr>
                  </w:pPr>
                </w:p>
                <w:p w14:paraId="2F45DC55" w14:textId="73EFCEAC" w:rsidR="00C45DC4" w:rsidRPr="004B124A" w:rsidRDefault="00C45DC4" w:rsidP="00D33BE7">
                  <w:pPr>
                    <w:rPr>
                      <w:rFonts w:ascii="Arial" w:hAnsi="Arial" w:cs="Arial"/>
                      <w:color w:val="000000" w:themeColor="text1"/>
                    </w:rPr>
                  </w:pPr>
                </w:p>
              </w:tc>
              <w:tc>
                <w:tcPr>
                  <w:tcW w:w="2835" w:type="dxa"/>
                  <w:vMerge/>
                </w:tcPr>
                <w:p w14:paraId="262270D0" w14:textId="77777777" w:rsidR="00C45DC4" w:rsidRDefault="00C45DC4" w:rsidP="00D33BE7">
                  <w:pPr>
                    <w:rPr>
                      <w:rFonts w:ascii="Arial" w:hAnsi="Arial" w:cs="Arial"/>
                      <w:color w:val="000000"/>
                    </w:rPr>
                  </w:pPr>
                </w:p>
              </w:tc>
            </w:tr>
            <w:tr w:rsidR="00C45DC4" w14:paraId="67EFFDCD" w14:textId="77777777" w:rsidTr="00401CEE">
              <w:tc>
                <w:tcPr>
                  <w:tcW w:w="12474" w:type="dxa"/>
                  <w:shd w:val="clear" w:color="auto" w:fill="D9D9D9" w:themeFill="background1" w:themeFillShade="D9"/>
                </w:tcPr>
                <w:p w14:paraId="6CFA2B79" w14:textId="1203EEDB" w:rsidR="00C45DC4" w:rsidRPr="004B124A" w:rsidRDefault="00C45DC4" w:rsidP="00D33BE7">
                  <w:pPr>
                    <w:rPr>
                      <w:rFonts w:ascii="Arial" w:hAnsi="Arial" w:cs="Arial"/>
                      <w:b/>
                      <w:color w:val="000000" w:themeColor="text1"/>
                    </w:rPr>
                  </w:pPr>
                  <w:r w:rsidRPr="004B124A">
                    <w:rPr>
                      <w:rFonts w:ascii="Arial" w:hAnsi="Arial" w:cs="Arial"/>
                      <w:b/>
                      <w:color w:val="000000" w:themeColor="text1"/>
                    </w:rPr>
                    <w:t>Research Informed Practice</w:t>
                  </w:r>
                </w:p>
              </w:tc>
              <w:tc>
                <w:tcPr>
                  <w:tcW w:w="2835" w:type="dxa"/>
                  <w:vMerge w:val="restart"/>
                </w:tcPr>
                <w:p w14:paraId="547B4CF8" w14:textId="4DAD6D81" w:rsidR="00C45DC4" w:rsidRDefault="00C45DC4"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5462A8BB" w14:textId="48DE097A" w:rsidR="00C45DC4" w:rsidRDefault="00C45DC4" w:rsidP="00D33BE7">
                  <w:pPr>
                    <w:rPr>
                      <w:rFonts w:ascii="Arial" w:hAnsi="Arial" w:cs="Arial"/>
                      <w:color w:val="000000"/>
                    </w:rPr>
                  </w:pPr>
                </w:p>
              </w:tc>
            </w:tr>
            <w:tr w:rsidR="00C45DC4" w14:paraId="4EF02400" w14:textId="77777777" w:rsidTr="00401CEE">
              <w:tc>
                <w:tcPr>
                  <w:tcW w:w="12474" w:type="dxa"/>
                </w:tcPr>
                <w:p w14:paraId="5603BFF5" w14:textId="77777777" w:rsidR="00C45DC4" w:rsidRPr="004B124A" w:rsidRDefault="00C45DC4" w:rsidP="00D33BE7">
                  <w:pPr>
                    <w:rPr>
                      <w:rFonts w:ascii="Arial" w:hAnsi="Arial" w:cs="Arial"/>
                      <w:color w:val="000000" w:themeColor="text1"/>
                    </w:rPr>
                  </w:pPr>
                </w:p>
                <w:p w14:paraId="2911AE25" w14:textId="13A5FB78" w:rsidR="00C45DC4" w:rsidRPr="004B124A" w:rsidRDefault="0087044A" w:rsidP="00D33BE7">
                  <w:pPr>
                    <w:rPr>
                      <w:rFonts w:ascii="Arial" w:hAnsi="Arial" w:cs="Arial"/>
                      <w:color w:val="000000" w:themeColor="text1"/>
                    </w:rPr>
                  </w:pPr>
                  <w:r w:rsidRPr="004B124A">
                    <w:rPr>
                      <w:rFonts w:ascii="Arial" w:hAnsi="Arial" w:cs="Arial"/>
                      <w:color w:val="000000" w:themeColor="text1"/>
                    </w:rPr>
                    <w:t>Course leader is a Lead Teacher and SPC for the IOP and will use latest IOP guidance to inform planning. School has access to academic research articles</w:t>
                  </w:r>
                  <w:r w:rsidR="00683FD7" w:rsidRPr="004B124A">
                    <w:rPr>
                      <w:rFonts w:ascii="Arial" w:hAnsi="Arial" w:cs="Arial"/>
                      <w:color w:val="000000" w:themeColor="text1"/>
                    </w:rPr>
                    <w:t xml:space="preserve"> via Chartered College membership</w:t>
                  </w:r>
                  <w:r w:rsidR="00472807" w:rsidRPr="004B124A">
                    <w:rPr>
                      <w:rFonts w:ascii="Arial" w:hAnsi="Arial" w:cs="Arial"/>
                      <w:color w:val="000000" w:themeColor="text1"/>
                    </w:rPr>
                    <w:t xml:space="preserve">. Participants will be encouraged to engage with the </w:t>
                  </w:r>
                  <w:proofErr w:type="spellStart"/>
                  <w:r w:rsidR="00472807" w:rsidRPr="004B124A">
                    <w:rPr>
                      <w:rFonts w:ascii="Arial" w:hAnsi="Arial" w:cs="Arial"/>
                      <w:color w:val="000000" w:themeColor="text1"/>
                    </w:rPr>
                    <w:t>IoP</w:t>
                  </w:r>
                  <w:proofErr w:type="spellEnd"/>
                  <w:r w:rsidR="00472807" w:rsidRPr="004B124A">
                    <w:rPr>
                      <w:rFonts w:ascii="Arial" w:hAnsi="Arial" w:cs="Arial"/>
                      <w:color w:val="000000" w:themeColor="text1"/>
                    </w:rPr>
                    <w:t xml:space="preserve"> throughout the course and be advised of key organisations/people to follow on Twitter in order to stay up to date with the latest research and best pedagogical practice. </w:t>
                  </w:r>
                </w:p>
                <w:p w14:paraId="49BD0F18" w14:textId="77777777" w:rsidR="00C45DC4" w:rsidRPr="004B124A" w:rsidRDefault="00C45DC4" w:rsidP="00D33BE7">
                  <w:pPr>
                    <w:rPr>
                      <w:rFonts w:ascii="Arial" w:hAnsi="Arial" w:cs="Arial"/>
                      <w:b/>
                      <w:color w:val="000000" w:themeColor="text1"/>
                    </w:rPr>
                  </w:pPr>
                </w:p>
                <w:p w14:paraId="0E9C2D52" w14:textId="77777777" w:rsidR="00C45DC4" w:rsidRPr="004B124A" w:rsidRDefault="00C45DC4" w:rsidP="00D33BE7">
                  <w:pPr>
                    <w:rPr>
                      <w:rFonts w:ascii="Arial" w:hAnsi="Arial" w:cs="Arial"/>
                      <w:b/>
                      <w:color w:val="000000" w:themeColor="text1"/>
                    </w:rPr>
                  </w:pPr>
                </w:p>
                <w:p w14:paraId="451AC7DD" w14:textId="74F8FA03" w:rsidR="00C45DC4" w:rsidRPr="004B124A" w:rsidRDefault="00C45DC4" w:rsidP="00D33BE7">
                  <w:pPr>
                    <w:rPr>
                      <w:rFonts w:ascii="Arial" w:hAnsi="Arial" w:cs="Arial"/>
                      <w:b/>
                      <w:color w:val="000000" w:themeColor="text1"/>
                    </w:rPr>
                  </w:pPr>
                </w:p>
              </w:tc>
              <w:tc>
                <w:tcPr>
                  <w:tcW w:w="2835" w:type="dxa"/>
                  <w:vMerge/>
                </w:tcPr>
                <w:p w14:paraId="2F724C91" w14:textId="2C6C44EA" w:rsidR="00C45DC4" w:rsidRDefault="00C45DC4" w:rsidP="00D33BE7">
                  <w:pPr>
                    <w:rPr>
                      <w:rFonts w:ascii="Arial" w:hAnsi="Arial" w:cs="Arial"/>
                      <w:color w:val="000000"/>
                    </w:rPr>
                  </w:pPr>
                </w:p>
              </w:tc>
            </w:tr>
            <w:tr w:rsidR="00C45DC4" w14:paraId="232ED03D" w14:textId="77777777" w:rsidTr="00401CEE">
              <w:tc>
                <w:tcPr>
                  <w:tcW w:w="12474" w:type="dxa"/>
                  <w:shd w:val="clear" w:color="auto" w:fill="D9D9D9" w:themeFill="background1" w:themeFillShade="D9"/>
                </w:tcPr>
                <w:p w14:paraId="62A7265C" w14:textId="546655AE" w:rsidR="00C45DC4" w:rsidRPr="004B124A" w:rsidRDefault="00C45DC4" w:rsidP="00D33BE7">
                  <w:pPr>
                    <w:rPr>
                      <w:rFonts w:ascii="Arial" w:hAnsi="Arial" w:cs="Arial"/>
                      <w:b/>
                      <w:color w:val="000000" w:themeColor="text1"/>
                    </w:rPr>
                  </w:pPr>
                  <w:r w:rsidRPr="004B124A">
                    <w:rPr>
                      <w:rFonts w:ascii="Arial" w:hAnsi="Arial" w:cs="Arial"/>
                      <w:b/>
                      <w:color w:val="000000" w:themeColor="text1"/>
                    </w:rPr>
                    <w:lastRenderedPageBreak/>
                    <w:t>Handling of Mathematical Requirements</w:t>
                  </w:r>
                </w:p>
              </w:tc>
              <w:tc>
                <w:tcPr>
                  <w:tcW w:w="2835" w:type="dxa"/>
                  <w:vMerge w:val="restart"/>
                </w:tcPr>
                <w:p w14:paraId="3026C077" w14:textId="0109B3B0" w:rsidR="00C45DC4" w:rsidRDefault="00C45DC4" w:rsidP="00D33BE7">
                  <w:pPr>
                    <w:rPr>
                      <w:rFonts w:ascii="Arial" w:hAnsi="Arial" w:cs="Arial"/>
                      <w:color w:val="000000"/>
                    </w:rPr>
                  </w:pPr>
                  <w:r>
                    <w:rPr>
                      <w:rFonts w:ascii="Arial" w:hAnsi="Arial" w:cs="Arial"/>
                      <w:color w:val="000000"/>
                    </w:rPr>
                    <w:t>e.g. handling of graphical techniques, proportionality, errors</w:t>
                  </w:r>
                </w:p>
                <w:p w14:paraId="41779228" w14:textId="449434BA" w:rsidR="00C45DC4" w:rsidRDefault="00C45DC4" w:rsidP="00D33BE7">
                  <w:pPr>
                    <w:rPr>
                      <w:rFonts w:ascii="Arial" w:hAnsi="Arial" w:cs="Arial"/>
                      <w:color w:val="000000"/>
                    </w:rPr>
                  </w:pPr>
                </w:p>
              </w:tc>
            </w:tr>
            <w:tr w:rsidR="00C45DC4" w14:paraId="4DF78A13" w14:textId="77777777" w:rsidTr="004B124A">
              <w:tc>
                <w:tcPr>
                  <w:tcW w:w="12474" w:type="dxa"/>
                  <w:shd w:val="clear" w:color="auto" w:fill="auto"/>
                </w:tcPr>
                <w:p w14:paraId="7BD97620" w14:textId="77777777" w:rsidR="00C45DC4" w:rsidRPr="004B124A" w:rsidRDefault="00C45DC4" w:rsidP="00D33BE7">
                  <w:pPr>
                    <w:rPr>
                      <w:rFonts w:ascii="Arial" w:hAnsi="Arial" w:cs="Arial"/>
                      <w:b/>
                      <w:color w:val="000000" w:themeColor="text1"/>
                    </w:rPr>
                  </w:pPr>
                </w:p>
                <w:p w14:paraId="6570A07D" w14:textId="2FD39611" w:rsidR="00C45DC4" w:rsidRPr="004B124A" w:rsidRDefault="002F0298" w:rsidP="00D33BE7">
                  <w:pPr>
                    <w:rPr>
                      <w:rFonts w:ascii="Arial" w:hAnsi="Arial" w:cs="Arial"/>
                      <w:color w:val="000000" w:themeColor="text1"/>
                    </w:rPr>
                  </w:pPr>
                  <w:r w:rsidRPr="004B124A">
                    <w:rPr>
                      <w:rFonts w:ascii="Arial" w:hAnsi="Arial" w:cs="Arial"/>
                      <w:color w:val="000000" w:themeColor="text1"/>
                    </w:rPr>
                    <w:t xml:space="preserve">Mathematical content </w:t>
                  </w:r>
                  <w:r w:rsidR="00EA4145" w:rsidRPr="004B124A">
                    <w:rPr>
                      <w:rFonts w:ascii="Arial" w:hAnsi="Arial" w:cs="Arial"/>
                      <w:color w:val="000000" w:themeColor="text1"/>
                    </w:rPr>
                    <w:t xml:space="preserve">including key mathematical vocabulary </w:t>
                  </w:r>
                  <w:r w:rsidRPr="004B124A">
                    <w:rPr>
                      <w:rFonts w:ascii="Arial" w:hAnsi="Arial" w:cs="Arial"/>
                      <w:color w:val="000000" w:themeColor="text1"/>
                    </w:rPr>
                    <w:t>will be embedded into the sessions at appropriate points, with an emphasis on the narrative of maths pedagogy including key misconceptions.</w:t>
                  </w:r>
                  <w:r w:rsidR="004B124A" w:rsidRPr="004B124A">
                    <w:rPr>
                      <w:rFonts w:ascii="Arial" w:hAnsi="Arial" w:cs="Arial"/>
                      <w:color w:val="000000" w:themeColor="text1"/>
                    </w:rPr>
                    <w:t xml:space="preserve"> Maths content will be specifically audited </w:t>
                  </w:r>
                  <w:proofErr w:type="gramStart"/>
                  <w:r w:rsidR="004B124A" w:rsidRPr="004B124A">
                    <w:rPr>
                      <w:rFonts w:ascii="Arial" w:hAnsi="Arial" w:cs="Arial"/>
                      <w:color w:val="000000" w:themeColor="text1"/>
                    </w:rPr>
                    <w:t>using  DfE</w:t>
                  </w:r>
                  <w:proofErr w:type="gramEnd"/>
                  <w:r w:rsidR="004B124A" w:rsidRPr="004B124A">
                    <w:rPr>
                      <w:rFonts w:ascii="Arial" w:hAnsi="Arial" w:cs="Arial"/>
                      <w:color w:val="000000" w:themeColor="text1"/>
                    </w:rPr>
                    <w:t xml:space="preserve"> and exam board guidance. </w:t>
                  </w:r>
                  <w:r w:rsidRPr="004B124A">
                    <w:rPr>
                      <w:rFonts w:ascii="Arial" w:hAnsi="Arial" w:cs="Arial"/>
                      <w:color w:val="000000" w:themeColor="text1"/>
                    </w:rPr>
                    <w:t xml:space="preserve"> </w:t>
                  </w:r>
                  <w:r w:rsidR="004B124A" w:rsidRPr="004B124A">
                    <w:rPr>
                      <w:rFonts w:ascii="Arial" w:hAnsi="Arial" w:cs="Arial"/>
                      <w:color w:val="000000" w:themeColor="text1"/>
                    </w:rPr>
                    <w:t>This will include graph drawing, estimates, standard form, significant figures, averages, probability and algebra, as per DfE guidance.</w:t>
                  </w:r>
                </w:p>
                <w:p w14:paraId="55209D0B" w14:textId="77777777" w:rsidR="00C45DC4" w:rsidRPr="004B124A" w:rsidRDefault="00C45DC4" w:rsidP="00D33BE7">
                  <w:pPr>
                    <w:rPr>
                      <w:rFonts w:ascii="Arial" w:hAnsi="Arial" w:cs="Arial"/>
                      <w:b/>
                      <w:color w:val="000000" w:themeColor="text1"/>
                    </w:rPr>
                  </w:pPr>
                </w:p>
                <w:p w14:paraId="27E87C36" w14:textId="77777777" w:rsidR="00C45DC4" w:rsidRPr="004B124A" w:rsidRDefault="00C45DC4" w:rsidP="00D33BE7">
                  <w:pPr>
                    <w:rPr>
                      <w:rFonts w:ascii="Arial" w:hAnsi="Arial" w:cs="Arial"/>
                      <w:b/>
                      <w:color w:val="000000" w:themeColor="text1"/>
                    </w:rPr>
                  </w:pPr>
                </w:p>
                <w:p w14:paraId="4A5A9223" w14:textId="5F35A42F" w:rsidR="00C45DC4" w:rsidRPr="004B124A" w:rsidRDefault="00C45DC4" w:rsidP="00D33BE7">
                  <w:pPr>
                    <w:rPr>
                      <w:rFonts w:ascii="Arial" w:hAnsi="Arial" w:cs="Arial"/>
                      <w:b/>
                      <w:color w:val="000000" w:themeColor="text1"/>
                    </w:rPr>
                  </w:pPr>
                </w:p>
              </w:tc>
              <w:tc>
                <w:tcPr>
                  <w:tcW w:w="2835" w:type="dxa"/>
                  <w:vMerge/>
                </w:tcPr>
                <w:p w14:paraId="0FA527E1" w14:textId="0DF4C9B5" w:rsidR="00C45DC4" w:rsidRDefault="00C45DC4" w:rsidP="00D33BE7">
                  <w:pPr>
                    <w:rPr>
                      <w:rFonts w:ascii="Arial" w:hAnsi="Arial" w:cs="Arial"/>
                      <w:color w:val="000000"/>
                    </w:rPr>
                  </w:pPr>
                </w:p>
              </w:tc>
            </w:tr>
            <w:tr w:rsidR="00C45DC4" w14:paraId="112F0B61" w14:textId="77777777" w:rsidTr="00401CEE">
              <w:tc>
                <w:tcPr>
                  <w:tcW w:w="12474" w:type="dxa"/>
                  <w:shd w:val="clear" w:color="auto" w:fill="D9D9D9" w:themeFill="background1" w:themeFillShade="D9"/>
                </w:tcPr>
                <w:p w14:paraId="1D8E1315" w14:textId="67FFD114" w:rsidR="00C45DC4" w:rsidRPr="004B124A" w:rsidRDefault="00C45DC4" w:rsidP="00D33BE7">
                  <w:pPr>
                    <w:rPr>
                      <w:rFonts w:ascii="Arial" w:hAnsi="Arial" w:cs="Arial"/>
                      <w:b/>
                      <w:color w:val="000000" w:themeColor="text1"/>
                    </w:rPr>
                  </w:pPr>
                  <w:r w:rsidRPr="004B124A">
                    <w:rPr>
                      <w:rFonts w:ascii="Arial" w:hAnsi="Arial" w:cs="Arial"/>
                      <w:b/>
                      <w:color w:val="000000" w:themeColor="text1"/>
                    </w:rPr>
                    <w:t>Participant Assessment Arrangements</w:t>
                  </w:r>
                </w:p>
              </w:tc>
              <w:tc>
                <w:tcPr>
                  <w:tcW w:w="2835" w:type="dxa"/>
                  <w:vMerge w:val="restart"/>
                </w:tcPr>
                <w:p w14:paraId="077A617B" w14:textId="11E6B37E" w:rsidR="00C45DC4" w:rsidRDefault="00C45DC4" w:rsidP="00D33BE7">
                  <w:pPr>
                    <w:rPr>
                      <w:rFonts w:ascii="Arial" w:hAnsi="Arial" w:cs="Arial"/>
                      <w:color w:val="000000"/>
                    </w:rPr>
                  </w:pPr>
                  <w:r>
                    <w:rPr>
                      <w:rFonts w:ascii="Arial" w:hAnsi="Arial" w:cs="Arial"/>
                      <w:color w:val="000000"/>
                    </w:rPr>
                    <w:t xml:space="preserve">Use of various modes e.g. lesson observation, portfolio, diagnostic testing, etc. </w:t>
                  </w:r>
                </w:p>
                <w:p w14:paraId="6E7ECA98" w14:textId="7E27A710" w:rsidR="00C45DC4" w:rsidRDefault="00C45DC4" w:rsidP="00D33BE7">
                  <w:pPr>
                    <w:rPr>
                      <w:rFonts w:ascii="Arial" w:hAnsi="Arial" w:cs="Arial"/>
                      <w:color w:val="000000"/>
                    </w:rPr>
                  </w:pPr>
                </w:p>
              </w:tc>
            </w:tr>
            <w:tr w:rsidR="00C45DC4" w14:paraId="387ED99D" w14:textId="77777777" w:rsidTr="00401CEE">
              <w:tc>
                <w:tcPr>
                  <w:tcW w:w="12474" w:type="dxa"/>
                </w:tcPr>
                <w:p w14:paraId="77AC8FCD" w14:textId="2FD350CE" w:rsidR="00401CEE" w:rsidRPr="004B124A" w:rsidRDefault="00576A7A" w:rsidP="00D33BE7">
                  <w:pPr>
                    <w:rPr>
                      <w:rFonts w:ascii="Arial" w:hAnsi="Arial" w:cs="Arial"/>
                      <w:b/>
                      <w:color w:val="000000" w:themeColor="text1"/>
                    </w:rPr>
                  </w:pPr>
                  <w:r w:rsidRPr="004B124A">
                    <w:rPr>
                      <w:rFonts w:ascii="Arial" w:hAnsi="Arial" w:cs="Arial"/>
                      <w:color w:val="000000" w:themeColor="text1"/>
                    </w:rPr>
                    <w:t>Pre-session diagnostic testing via the IOP TSST platform will enable the course leader to have a clear idea of the specific content needed in order to allow content to be personalised.  Key GCSE practice questions will be used formatively. Diagnostic tests will then be repeated at the end of each</w:t>
                  </w:r>
                  <w:r w:rsidR="000C1F15" w:rsidRPr="004B124A">
                    <w:rPr>
                      <w:rFonts w:ascii="Arial" w:hAnsi="Arial" w:cs="Arial"/>
                      <w:color w:val="000000" w:themeColor="text1"/>
                    </w:rPr>
                    <w:t xml:space="preserve"> session in order to determine progression in terms of subject knowledge. </w:t>
                  </w:r>
                  <w:r w:rsidR="002F0298" w:rsidRPr="004B124A">
                    <w:rPr>
                      <w:rFonts w:ascii="Arial" w:hAnsi="Arial" w:cs="Arial"/>
                      <w:color w:val="000000" w:themeColor="text1"/>
                    </w:rPr>
                    <w:t xml:space="preserve">The lesson study approach will be used to allow peers to plan and observe lessons, but this will be evaluated through a self and peer reflection </w:t>
                  </w:r>
                  <w:proofErr w:type="spellStart"/>
                  <w:r w:rsidR="002F0298" w:rsidRPr="004B124A">
                    <w:rPr>
                      <w:rFonts w:ascii="Arial" w:hAnsi="Arial" w:cs="Arial"/>
                      <w:color w:val="000000" w:themeColor="text1"/>
                    </w:rPr>
                    <w:t>proforma</w:t>
                  </w:r>
                  <w:proofErr w:type="spellEnd"/>
                  <w:r w:rsidR="002F0298" w:rsidRPr="004B124A">
                    <w:rPr>
                      <w:rFonts w:ascii="Arial" w:hAnsi="Arial" w:cs="Arial"/>
                      <w:color w:val="000000" w:themeColor="text1"/>
                    </w:rPr>
                    <w:t xml:space="preserve"> with the session leader evaluating the responses and giving feedback between cycles before preparing a final summary report for each participant highlighting strengths and next steps.   </w:t>
                  </w:r>
                </w:p>
                <w:p w14:paraId="21082A9D" w14:textId="77777777" w:rsidR="00C45DC4" w:rsidRPr="004B124A" w:rsidRDefault="00C45DC4" w:rsidP="00D33BE7">
                  <w:pPr>
                    <w:rPr>
                      <w:rFonts w:ascii="Arial" w:hAnsi="Arial" w:cs="Arial"/>
                      <w:b/>
                      <w:color w:val="000000" w:themeColor="text1"/>
                    </w:rPr>
                  </w:pPr>
                </w:p>
                <w:p w14:paraId="20EE5F1E" w14:textId="40CD5A26" w:rsidR="00C45DC4" w:rsidRPr="004B124A" w:rsidRDefault="00C45DC4" w:rsidP="00D33BE7">
                  <w:pPr>
                    <w:rPr>
                      <w:rFonts w:ascii="Arial" w:hAnsi="Arial" w:cs="Arial"/>
                      <w:b/>
                      <w:color w:val="000000" w:themeColor="text1"/>
                    </w:rPr>
                  </w:pPr>
                </w:p>
              </w:tc>
              <w:tc>
                <w:tcPr>
                  <w:tcW w:w="2835" w:type="dxa"/>
                  <w:vMerge/>
                </w:tcPr>
                <w:p w14:paraId="73C3C58E" w14:textId="7655BBC1" w:rsidR="00C45DC4" w:rsidRDefault="00C45DC4" w:rsidP="00D33BE7">
                  <w:pPr>
                    <w:rPr>
                      <w:rFonts w:ascii="Arial" w:hAnsi="Arial" w:cs="Arial"/>
                      <w:color w:val="000000"/>
                    </w:rPr>
                  </w:pPr>
                </w:p>
              </w:tc>
            </w:tr>
            <w:tr w:rsidR="00C45DC4" w14:paraId="1D55E92E" w14:textId="77777777" w:rsidTr="00401CEE">
              <w:tc>
                <w:tcPr>
                  <w:tcW w:w="12474" w:type="dxa"/>
                  <w:shd w:val="clear" w:color="auto" w:fill="D9D9D9" w:themeFill="background1" w:themeFillShade="D9"/>
                </w:tcPr>
                <w:p w14:paraId="7B7E6280" w14:textId="14E339BF" w:rsidR="00C45DC4" w:rsidRPr="004B124A" w:rsidRDefault="00C45DC4" w:rsidP="00D33BE7">
                  <w:pPr>
                    <w:rPr>
                      <w:rFonts w:ascii="Arial" w:hAnsi="Arial" w:cs="Arial"/>
                      <w:b/>
                      <w:color w:val="000000" w:themeColor="text1"/>
                    </w:rPr>
                  </w:pPr>
                  <w:r w:rsidRPr="004B124A">
                    <w:rPr>
                      <w:rFonts w:ascii="Arial" w:hAnsi="Arial" w:cs="Arial"/>
                      <w:b/>
                      <w:color w:val="000000" w:themeColor="text1"/>
                    </w:rPr>
                    <w:t>Quality Assurance Mechanisms</w:t>
                  </w:r>
                </w:p>
              </w:tc>
              <w:tc>
                <w:tcPr>
                  <w:tcW w:w="2835" w:type="dxa"/>
                  <w:vMerge w:val="restart"/>
                </w:tcPr>
                <w:p w14:paraId="7A9F7C15" w14:textId="6A340C78" w:rsidR="00C45DC4" w:rsidRDefault="00C45DC4" w:rsidP="00C45DC4">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of staff. </w:t>
                  </w:r>
                </w:p>
                <w:p w14:paraId="3A95BBE4" w14:textId="69CF352D" w:rsidR="00C45DC4" w:rsidRDefault="00C45DC4" w:rsidP="00D33BE7">
                  <w:pPr>
                    <w:rPr>
                      <w:rFonts w:ascii="Arial" w:hAnsi="Arial" w:cs="Arial"/>
                      <w:color w:val="000000"/>
                    </w:rPr>
                  </w:pPr>
                </w:p>
              </w:tc>
            </w:tr>
            <w:tr w:rsidR="00C45DC4" w14:paraId="741C5E32" w14:textId="77777777" w:rsidTr="00401CEE">
              <w:tc>
                <w:tcPr>
                  <w:tcW w:w="12474" w:type="dxa"/>
                </w:tcPr>
                <w:p w14:paraId="57BF9E26" w14:textId="226BB4B4" w:rsidR="00061843" w:rsidRPr="004B124A" w:rsidRDefault="00061843" w:rsidP="00061843">
                  <w:pPr>
                    <w:rPr>
                      <w:rFonts w:ascii="Arial" w:hAnsi="Arial" w:cs="Arial"/>
                      <w:color w:val="000000" w:themeColor="text1"/>
                    </w:rPr>
                  </w:pPr>
                  <w:r w:rsidRPr="004B124A">
                    <w:rPr>
                      <w:rFonts w:ascii="Arial" w:hAnsi="Arial" w:cs="Arial"/>
                      <w:color w:val="000000" w:themeColor="text1"/>
                    </w:rPr>
                    <w:t xml:space="preserve">Course leader is a Lead Teacher and SPC for the IOP. </w:t>
                  </w:r>
                </w:p>
                <w:p w14:paraId="2C0C3DD1" w14:textId="083BEC93" w:rsidR="00061843" w:rsidRPr="004B124A" w:rsidRDefault="00061843" w:rsidP="00061843">
                  <w:pPr>
                    <w:rPr>
                      <w:rFonts w:ascii="Arial" w:hAnsi="Arial" w:cs="Arial"/>
                      <w:color w:val="000000" w:themeColor="text1"/>
                    </w:rPr>
                  </w:pPr>
                  <w:r w:rsidRPr="004B124A">
                    <w:rPr>
                      <w:rFonts w:ascii="Arial" w:hAnsi="Arial" w:cs="Arial"/>
                      <w:color w:val="000000" w:themeColor="text1"/>
                    </w:rPr>
                    <w:t>Materials will be predominantly based on the IOP validated TSST resources. Any non-</w:t>
                  </w:r>
                  <w:proofErr w:type="spellStart"/>
                  <w:r w:rsidRPr="004B124A">
                    <w:rPr>
                      <w:rFonts w:ascii="Arial" w:hAnsi="Arial" w:cs="Arial"/>
                      <w:color w:val="000000" w:themeColor="text1"/>
                    </w:rPr>
                    <w:t>IoP</w:t>
                  </w:r>
                  <w:proofErr w:type="spellEnd"/>
                  <w:r w:rsidRPr="004B124A">
                    <w:rPr>
                      <w:rFonts w:ascii="Arial" w:hAnsi="Arial" w:cs="Arial"/>
                      <w:color w:val="000000" w:themeColor="text1"/>
                    </w:rPr>
                    <w:t xml:space="preserve"> m</w:t>
                  </w:r>
                  <w:r w:rsidR="002F0298" w:rsidRPr="004B124A">
                    <w:rPr>
                      <w:rFonts w:ascii="Arial" w:hAnsi="Arial" w:cs="Arial"/>
                      <w:color w:val="000000" w:themeColor="text1"/>
                    </w:rPr>
                    <w:t xml:space="preserve">aterials will be quality assured by Dr Pat Thompson, Physics SLE. </w:t>
                  </w:r>
                  <w:r w:rsidRPr="004B124A">
                    <w:rPr>
                      <w:rFonts w:ascii="Arial" w:hAnsi="Arial" w:cs="Arial"/>
                      <w:color w:val="000000" w:themeColor="text1"/>
                    </w:rPr>
                    <w:t xml:space="preserve">The TS will monitor and quality assure the experience that each participant receives to ensure equity of experience. The Teaching School itself works in collaboration with the other Leicester City teaching schools and will use the teaching school peer review framework for quality assurance.  </w:t>
                  </w:r>
                </w:p>
                <w:p w14:paraId="26A22C06" w14:textId="4F2992C0" w:rsidR="00061843" w:rsidRPr="004B124A" w:rsidRDefault="00061843" w:rsidP="00061843">
                  <w:pPr>
                    <w:rPr>
                      <w:rFonts w:ascii="Arial" w:hAnsi="Arial" w:cs="Arial"/>
                      <w:color w:val="000000" w:themeColor="text1"/>
                    </w:rPr>
                  </w:pPr>
                  <w:r w:rsidRPr="004B124A">
                    <w:rPr>
                      <w:rFonts w:ascii="Arial" w:hAnsi="Arial" w:cs="Arial"/>
                      <w:color w:val="000000" w:themeColor="text1"/>
                    </w:rPr>
                    <w:t>On completion of the programme, participants will receive certification with CIMT combined with the possibility of Masters credits. We will establish protocol to follow the progress of TSST graduates in their career in order to look at the long term impact of the TSST on teacher career progression and student outcomes.</w:t>
                  </w:r>
                </w:p>
                <w:p w14:paraId="162D876A" w14:textId="411A3CFA" w:rsidR="00C45DC4" w:rsidRPr="004B124A" w:rsidRDefault="00C45DC4" w:rsidP="00061843">
                  <w:pPr>
                    <w:rPr>
                      <w:rFonts w:ascii="Arial" w:hAnsi="Arial" w:cs="Arial"/>
                      <w:b/>
                      <w:color w:val="000000" w:themeColor="text1"/>
                    </w:rPr>
                  </w:pPr>
                </w:p>
              </w:tc>
              <w:tc>
                <w:tcPr>
                  <w:tcW w:w="2835" w:type="dxa"/>
                  <w:vMerge/>
                </w:tcPr>
                <w:p w14:paraId="6BB0AE52" w14:textId="6753BADB" w:rsidR="00C45DC4" w:rsidRDefault="00C45DC4" w:rsidP="00D33BE7">
                  <w:pPr>
                    <w:rPr>
                      <w:rFonts w:ascii="Arial" w:hAnsi="Arial" w:cs="Arial"/>
                      <w:color w:val="000000"/>
                    </w:rPr>
                  </w:pPr>
                </w:p>
              </w:tc>
            </w:tr>
            <w:tr w:rsidR="00C45DC4" w14:paraId="5FFB75DD" w14:textId="77777777" w:rsidTr="00401CEE">
              <w:tc>
                <w:tcPr>
                  <w:tcW w:w="12474" w:type="dxa"/>
                  <w:shd w:val="clear" w:color="auto" w:fill="D9D9D9" w:themeFill="background1" w:themeFillShade="D9"/>
                </w:tcPr>
                <w:p w14:paraId="265EA2D1" w14:textId="34D9B75A" w:rsidR="00C45DC4" w:rsidRPr="004B124A" w:rsidRDefault="00C45DC4" w:rsidP="00D33BE7">
                  <w:pPr>
                    <w:rPr>
                      <w:rFonts w:ascii="Arial" w:hAnsi="Arial" w:cs="Arial"/>
                      <w:b/>
                      <w:color w:val="000000" w:themeColor="text1"/>
                    </w:rPr>
                  </w:pPr>
                  <w:r w:rsidRPr="004B124A">
                    <w:rPr>
                      <w:rFonts w:ascii="Arial" w:hAnsi="Arial" w:cs="Arial"/>
                      <w:b/>
                      <w:color w:val="000000" w:themeColor="text1"/>
                    </w:rPr>
                    <w:t>Individualisation for Participants</w:t>
                  </w:r>
                </w:p>
              </w:tc>
              <w:tc>
                <w:tcPr>
                  <w:tcW w:w="2835" w:type="dxa"/>
                  <w:vMerge w:val="restart"/>
                </w:tcPr>
                <w:p w14:paraId="5662D3B8" w14:textId="5044BD19" w:rsidR="00C45DC4" w:rsidRDefault="00C45DC4"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C45DC4" w:rsidRDefault="00C45DC4" w:rsidP="00D33BE7">
                  <w:pPr>
                    <w:rPr>
                      <w:rFonts w:ascii="Arial" w:hAnsi="Arial" w:cs="Arial"/>
                      <w:color w:val="000000"/>
                    </w:rPr>
                  </w:pPr>
                </w:p>
              </w:tc>
            </w:tr>
            <w:tr w:rsidR="00C45DC4" w14:paraId="5D67E9F6" w14:textId="77777777" w:rsidTr="00401CEE">
              <w:tc>
                <w:tcPr>
                  <w:tcW w:w="12474" w:type="dxa"/>
                </w:tcPr>
                <w:p w14:paraId="6798C341" w14:textId="77777777" w:rsidR="00C45DC4" w:rsidRPr="004B124A" w:rsidRDefault="00C45DC4" w:rsidP="00D33BE7">
                  <w:pPr>
                    <w:rPr>
                      <w:rFonts w:ascii="Arial" w:hAnsi="Arial" w:cs="Arial"/>
                      <w:b/>
                      <w:color w:val="000000" w:themeColor="text1"/>
                    </w:rPr>
                  </w:pPr>
                </w:p>
                <w:p w14:paraId="6DFA8C61" w14:textId="38873AEA" w:rsidR="00C45DC4" w:rsidRPr="004B124A" w:rsidRDefault="0014643A" w:rsidP="00D33BE7">
                  <w:pPr>
                    <w:rPr>
                      <w:rFonts w:ascii="Arial" w:hAnsi="Arial" w:cs="Arial"/>
                      <w:b/>
                      <w:color w:val="000000" w:themeColor="text1"/>
                    </w:rPr>
                  </w:pPr>
                  <w:r w:rsidRPr="004B124A">
                    <w:rPr>
                      <w:rFonts w:ascii="Arial" w:hAnsi="Arial" w:cs="Arial"/>
                      <w:color w:val="000000" w:themeColor="text1"/>
                    </w:rPr>
                    <w:t xml:space="preserve">Pre-session diagnostic testing via the IOP TSST platform will enable the course leader to have a clear idea of the specific content needed in order to allow content to be highly personalised, if required, based on the small cohort size of five. </w:t>
                  </w:r>
                </w:p>
                <w:p w14:paraId="5151D42E" w14:textId="77777777" w:rsidR="00C45DC4" w:rsidRPr="004B124A" w:rsidRDefault="00C45DC4" w:rsidP="00D33BE7">
                  <w:pPr>
                    <w:rPr>
                      <w:rFonts w:ascii="Arial" w:hAnsi="Arial" w:cs="Arial"/>
                      <w:b/>
                      <w:color w:val="000000" w:themeColor="text1"/>
                    </w:rPr>
                  </w:pPr>
                </w:p>
                <w:p w14:paraId="36B21A4C" w14:textId="3FE86404" w:rsidR="00C45DC4" w:rsidRPr="004B124A" w:rsidRDefault="00C45DC4" w:rsidP="00D33BE7">
                  <w:pPr>
                    <w:rPr>
                      <w:rFonts w:ascii="Arial" w:hAnsi="Arial" w:cs="Arial"/>
                      <w:b/>
                      <w:color w:val="000000" w:themeColor="text1"/>
                    </w:rPr>
                  </w:pPr>
                </w:p>
              </w:tc>
              <w:tc>
                <w:tcPr>
                  <w:tcW w:w="2835" w:type="dxa"/>
                  <w:vMerge/>
                </w:tcPr>
                <w:p w14:paraId="69A79765" w14:textId="26888F51" w:rsidR="00C45DC4" w:rsidRDefault="00C45DC4" w:rsidP="00D33BE7">
                  <w:pPr>
                    <w:rPr>
                      <w:rFonts w:ascii="Arial" w:hAnsi="Arial" w:cs="Arial"/>
                      <w:color w:val="000000"/>
                    </w:rPr>
                  </w:pPr>
                </w:p>
              </w:tc>
            </w:tr>
            <w:tr w:rsidR="00C45DC4" w14:paraId="1F3889AB" w14:textId="77777777" w:rsidTr="00401CEE">
              <w:tc>
                <w:tcPr>
                  <w:tcW w:w="12474" w:type="dxa"/>
                  <w:shd w:val="clear" w:color="auto" w:fill="D9D9D9" w:themeFill="background1" w:themeFillShade="D9"/>
                </w:tcPr>
                <w:p w14:paraId="1FC112F0" w14:textId="127344C2" w:rsidR="00C45DC4" w:rsidRPr="004B124A" w:rsidRDefault="00C45DC4" w:rsidP="00D33BE7">
                  <w:pPr>
                    <w:rPr>
                      <w:rFonts w:ascii="Arial" w:hAnsi="Arial" w:cs="Arial"/>
                      <w:b/>
                      <w:color w:val="000000" w:themeColor="text1"/>
                    </w:rPr>
                  </w:pPr>
                  <w:r w:rsidRPr="004B124A">
                    <w:rPr>
                      <w:rFonts w:ascii="Arial" w:hAnsi="Arial" w:cs="Arial"/>
                      <w:b/>
                      <w:color w:val="000000" w:themeColor="text1"/>
                    </w:rPr>
                    <w:t>Course Evaluation Mechanism</w:t>
                  </w:r>
                </w:p>
              </w:tc>
              <w:tc>
                <w:tcPr>
                  <w:tcW w:w="2835" w:type="dxa"/>
                  <w:vMerge w:val="restart"/>
                </w:tcPr>
                <w:p w14:paraId="3F6196FE" w14:textId="4D12D41F" w:rsidR="00C45DC4" w:rsidRDefault="00C45DC4" w:rsidP="00D33BE7">
                  <w:pPr>
                    <w:rPr>
                      <w:rFonts w:ascii="Arial" w:hAnsi="Arial" w:cs="Arial"/>
                      <w:color w:val="000000"/>
                    </w:rPr>
                  </w:pPr>
                  <w:r>
                    <w:rPr>
                      <w:rFonts w:ascii="Arial" w:hAnsi="Arial" w:cs="Arial"/>
                      <w:color w:val="000000"/>
                    </w:rPr>
                    <w:t xml:space="preserve">Mention evaluation by participants, or external </w:t>
                  </w:r>
                  <w:r>
                    <w:rPr>
                      <w:rFonts w:ascii="Arial" w:hAnsi="Arial" w:cs="Arial"/>
                      <w:color w:val="000000"/>
                    </w:rPr>
                    <w:lastRenderedPageBreak/>
                    <w:t xml:space="preserve">body, if you intend to publish survey results etc. </w:t>
                  </w:r>
                </w:p>
                <w:p w14:paraId="4D004A8B" w14:textId="6660924F" w:rsidR="00C45DC4" w:rsidRDefault="00C45DC4" w:rsidP="00D33BE7">
                  <w:pPr>
                    <w:rPr>
                      <w:rFonts w:ascii="Arial" w:hAnsi="Arial" w:cs="Arial"/>
                      <w:color w:val="000000"/>
                    </w:rPr>
                  </w:pPr>
                </w:p>
              </w:tc>
            </w:tr>
            <w:tr w:rsidR="00C45DC4" w14:paraId="13384417" w14:textId="77777777" w:rsidTr="00401CEE">
              <w:tc>
                <w:tcPr>
                  <w:tcW w:w="12474" w:type="dxa"/>
                </w:tcPr>
                <w:p w14:paraId="2B8A55E9" w14:textId="77777777" w:rsidR="00C45DC4" w:rsidRPr="004B124A" w:rsidRDefault="00C45DC4" w:rsidP="00D33BE7">
                  <w:pPr>
                    <w:rPr>
                      <w:rFonts w:ascii="Arial" w:hAnsi="Arial" w:cs="Arial"/>
                      <w:color w:val="000000" w:themeColor="text1"/>
                    </w:rPr>
                  </w:pPr>
                </w:p>
                <w:p w14:paraId="4CC615AB" w14:textId="1B577EFF" w:rsidR="0014643A" w:rsidRPr="004B124A" w:rsidRDefault="0014643A" w:rsidP="0014643A">
                  <w:pPr>
                    <w:rPr>
                      <w:rFonts w:ascii="Arial" w:hAnsi="Arial" w:cs="Arial"/>
                      <w:color w:val="000000" w:themeColor="text1"/>
                    </w:rPr>
                  </w:pPr>
                  <w:r w:rsidRPr="004B124A">
                    <w:rPr>
                      <w:rFonts w:ascii="Arial" w:hAnsi="Arial" w:cs="Arial"/>
                      <w:color w:val="000000" w:themeColor="text1"/>
                    </w:rPr>
                    <w:lastRenderedPageBreak/>
                    <w:t>All aspects of the TSST will be specifically evaluated, using the Teaching School evaluation process. The Teaching School itself reports evaluation data to the DfE</w:t>
                  </w:r>
                  <w:r w:rsidR="00472807" w:rsidRPr="004B124A">
                    <w:rPr>
                      <w:rFonts w:ascii="Arial" w:hAnsi="Arial" w:cs="Arial"/>
                      <w:color w:val="000000" w:themeColor="text1"/>
                    </w:rPr>
                    <w:t xml:space="preserve">. In addition to this, the Teaching School itself works in collaboration with the other Leicester City teaching schools and will use the teaching school peer review framework for quality assurance.  </w:t>
                  </w:r>
                </w:p>
                <w:p w14:paraId="139F7A1A" w14:textId="6A9D4C64" w:rsidR="00C45DC4" w:rsidRPr="004B124A" w:rsidRDefault="00C45DC4" w:rsidP="00472807">
                  <w:pPr>
                    <w:rPr>
                      <w:rFonts w:ascii="Arial" w:hAnsi="Arial" w:cs="Arial"/>
                      <w:color w:val="000000" w:themeColor="text1"/>
                    </w:rPr>
                  </w:pPr>
                </w:p>
              </w:tc>
              <w:tc>
                <w:tcPr>
                  <w:tcW w:w="2835" w:type="dxa"/>
                  <w:vMerge/>
                </w:tcPr>
                <w:p w14:paraId="681BF2A3" w14:textId="6962D87D" w:rsidR="00C45DC4" w:rsidRDefault="00C45DC4" w:rsidP="00D33BE7">
                  <w:pPr>
                    <w:rPr>
                      <w:rFonts w:ascii="Arial" w:hAnsi="Arial" w:cs="Arial"/>
                      <w:color w:val="000000"/>
                    </w:rPr>
                  </w:pPr>
                </w:p>
              </w:tc>
            </w:tr>
            <w:tr w:rsidR="00C45DC4" w14:paraId="666DA30B" w14:textId="77777777" w:rsidTr="00401CEE">
              <w:tc>
                <w:tcPr>
                  <w:tcW w:w="12474" w:type="dxa"/>
                  <w:shd w:val="clear" w:color="auto" w:fill="D9D9D9" w:themeFill="background1" w:themeFillShade="D9"/>
                </w:tcPr>
                <w:p w14:paraId="15A8733F" w14:textId="4D7FC122" w:rsidR="00C45DC4" w:rsidRPr="004B124A" w:rsidRDefault="00C45DC4" w:rsidP="00D33BE7">
                  <w:pPr>
                    <w:rPr>
                      <w:rFonts w:ascii="Arial" w:hAnsi="Arial" w:cs="Arial"/>
                      <w:b/>
                      <w:color w:val="000000" w:themeColor="text1"/>
                    </w:rPr>
                  </w:pPr>
                  <w:r w:rsidRPr="004B124A">
                    <w:rPr>
                      <w:rFonts w:ascii="Arial" w:hAnsi="Arial" w:cs="Arial"/>
                      <w:b/>
                      <w:color w:val="000000" w:themeColor="text1"/>
                    </w:rPr>
                    <w:lastRenderedPageBreak/>
                    <w:t>Lifelong Learning of Participants</w:t>
                  </w:r>
                </w:p>
              </w:tc>
              <w:tc>
                <w:tcPr>
                  <w:tcW w:w="2835" w:type="dxa"/>
                  <w:vMerge w:val="restart"/>
                </w:tcPr>
                <w:p w14:paraId="54BE9BD1" w14:textId="6F049692" w:rsidR="00C45DC4" w:rsidRDefault="00C45DC4"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C45DC4" w:rsidRDefault="00C45DC4" w:rsidP="00D33BE7">
                  <w:pPr>
                    <w:rPr>
                      <w:rFonts w:ascii="Arial" w:hAnsi="Arial" w:cs="Arial"/>
                      <w:color w:val="000000"/>
                    </w:rPr>
                  </w:pPr>
                </w:p>
              </w:tc>
            </w:tr>
            <w:tr w:rsidR="00C45DC4" w14:paraId="646ACE44" w14:textId="77777777" w:rsidTr="00401CEE">
              <w:tc>
                <w:tcPr>
                  <w:tcW w:w="12474" w:type="dxa"/>
                </w:tcPr>
                <w:p w14:paraId="00CA3FFB" w14:textId="53FFAD77" w:rsidR="00C45DC4" w:rsidRPr="004B124A" w:rsidRDefault="0014643A" w:rsidP="00472807">
                  <w:pPr>
                    <w:rPr>
                      <w:rFonts w:ascii="Arial" w:hAnsi="Arial" w:cs="Arial"/>
                      <w:color w:val="000000" w:themeColor="text1"/>
                    </w:rPr>
                  </w:pPr>
                  <w:r w:rsidRPr="004B124A">
                    <w:rPr>
                      <w:rFonts w:ascii="Arial" w:hAnsi="Arial" w:cs="Arial"/>
                      <w:color w:val="000000" w:themeColor="text1"/>
                    </w:rPr>
                    <w:t xml:space="preserve">At the beginning of the course, participants will be given access to key websites for the independent study/pre-reading in order to establish a culture of autonomous learning. Participants will be encouraged to </w:t>
                  </w:r>
                  <w:r w:rsidR="00472807" w:rsidRPr="004B124A">
                    <w:rPr>
                      <w:rFonts w:ascii="Arial" w:hAnsi="Arial" w:cs="Arial"/>
                      <w:color w:val="000000" w:themeColor="text1"/>
                    </w:rPr>
                    <w:t xml:space="preserve">engage with the </w:t>
                  </w:r>
                  <w:proofErr w:type="spellStart"/>
                  <w:r w:rsidR="00472807" w:rsidRPr="004B124A">
                    <w:rPr>
                      <w:rFonts w:ascii="Arial" w:hAnsi="Arial" w:cs="Arial"/>
                      <w:color w:val="000000" w:themeColor="text1"/>
                    </w:rPr>
                    <w:t>IoP</w:t>
                  </w:r>
                  <w:proofErr w:type="spellEnd"/>
                  <w:r w:rsidR="00472807" w:rsidRPr="004B124A">
                    <w:rPr>
                      <w:rFonts w:ascii="Arial" w:hAnsi="Arial" w:cs="Arial"/>
                      <w:color w:val="000000" w:themeColor="text1"/>
                    </w:rPr>
                    <w:t xml:space="preserve"> throughout the course. We have factored in a process for following progress of TSST graduates in their career and will use this ongoing evaluation as a mechanism of keeping graduates informed of future developments. Social media such as twitter and a WhatsApp group for the cohort will provide a further opportunity for ongoing CPD and sharing of current Physics research. </w:t>
                  </w:r>
                </w:p>
              </w:tc>
              <w:tc>
                <w:tcPr>
                  <w:tcW w:w="2835" w:type="dxa"/>
                  <w:vMerge/>
                </w:tcPr>
                <w:p w14:paraId="6A053262" w14:textId="79E4B547" w:rsidR="00C45DC4" w:rsidRDefault="00C45DC4"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6B82BC81" w14:textId="77777777" w:rsidR="00507B8A" w:rsidRPr="006F4A41" w:rsidRDefault="00507B8A">
      <w:pPr>
        <w:rPr>
          <w:rFonts w:ascii="Arial" w:hAnsi="Arial" w:cs="Arial"/>
        </w:rPr>
      </w:pPr>
    </w:p>
    <w:sectPr w:rsidR="00507B8A" w:rsidRPr="006F4A41"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40F150A"/>
    <w:multiLevelType w:val="multilevel"/>
    <w:tmpl w:val="A45AB49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9791BCE"/>
    <w:multiLevelType w:val="multilevel"/>
    <w:tmpl w:val="BE56A2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63CD7107"/>
    <w:multiLevelType w:val="multilevel"/>
    <w:tmpl w:val="E5A801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EC7064A"/>
    <w:multiLevelType w:val="hybridMultilevel"/>
    <w:tmpl w:val="DEDE969C"/>
    <w:lvl w:ilvl="0" w:tplc="CEA88DD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A531E7"/>
    <w:multiLevelType w:val="multilevel"/>
    <w:tmpl w:val="75BAC636"/>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numFmt w:val="bullet"/>
      <w:lvlText w:val=""/>
      <w:lvlJc w:val="left"/>
      <w:pPr>
        <w:ind w:left="2520" w:hanging="360"/>
      </w:pPr>
      <w:rPr>
        <w:rFonts w:ascii="Symbol" w:hAnsi="Symbo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7B233184"/>
    <w:multiLevelType w:val="multilevel"/>
    <w:tmpl w:val="77A0D5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2"/>
  </w:num>
  <w:num w:numId="3">
    <w:abstractNumId w:val="4"/>
  </w:num>
  <w:num w:numId="4">
    <w:abstractNumId w:val="6"/>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56C4F"/>
    <w:rsid w:val="00061843"/>
    <w:rsid w:val="000C1F15"/>
    <w:rsid w:val="0014643A"/>
    <w:rsid w:val="001B543F"/>
    <w:rsid w:val="001C7E62"/>
    <w:rsid w:val="001F1179"/>
    <w:rsid w:val="002862D9"/>
    <w:rsid w:val="002B3B06"/>
    <w:rsid w:val="002F0298"/>
    <w:rsid w:val="002F7A29"/>
    <w:rsid w:val="003239B6"/>
    <w:rsid w:val="003B372D"/>
    <w:rsid w:val="003E4453"/>
    <w:rsid w:val="003F7CD2"/>
    <w:rsid w:val="00401CEE"/>
    <w:rsid w:val="00472807"/>
    <w:rsid w:val="004B124A"/>
    <w:rsid w:val="004C560B"/>
    <w:rsid w:val="00507B8A"/>
    <w:rsid w:val="005349B7"/>
    <w:rsid w:val="00576A7A"/>
    <w:rsid w:val="005B427D"/>
    <w:rsid w:val="00653747"/>
    <w:rsid w:val="00683FD7"/>
    <w:rsid w:val="006F4A41"/>
    <w:rsid w:val="00707AE6"/>
    <w:rsid w:val="007355C5"/>
    <w:rsid w:val="00835CE9"/>
    <w:rsid w:val="0086772E"/>
    <w:rsid w:val="0087044A"/>
    <w:rsid w:val="00975370"/>
    <w:rsid w:val="00981540"/>
    <w:rsid w:val="009F7D75"/>
    <w:rsid w:val="00A1690F"/>
    <w:rsid w:val="00A36608"/>
    <w:rsid w:val="00AA09D7"/>
    <w:rsid w:val="00B60D4B"/>
    <w:rsid w:val="00BB12E4"/>
    <w:rsid w:val="00BB3080"/>
    <w:rsid w:val="00BD3FBC"/>
    <w:rsid w:val="00BE3A38"/>
    <w:rsid w:val="00C01160"/>
    <w:rsid w:val="00C45DC4"/>
    <w:rsid w:val="00D20908"/>
    <w:rsid w:val="00D33BE7"/>
    <w:rsid w:val="00D44838"/>
    <w:rsid w:val="00D7531D"/>
    <w:rsid w:val="00DD5728"/>
    <w:rsid w:val="00E44234"/>
    <w:rsid w:val="00EA4145"/>
    <w:rsid w:val="00F53F2C"/>
    <w:rsid w:val="00F82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rsid w:val="00707AE6"/>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707AE6"/>
    <w:pPr>
      <w:numPr>
        <w:numId w:val="1"/>
      </w:numPr>
    </w:pPr>
  </w:style>
  <w:style w:type="character" w:styleId="Hyperlink">
    <w:name w:val="Hyperlink"/>
    <w:basedOn w:val="DefaultParagraphFont"/>
    <w:uiPriority w:val="99"/>
    <w:unhideWhenUsed/>
    <w:rsid w:val="0087044A"/>
    <w:rPr>
      <w:color w:val="0563C1" w:themeColor="hyperlink"/>
      <w:u w:val="single"/>
    </w:rPr>
  </w:style>
  <w:style w:type="paragraph" w:customStyle="1" w:styleId="DfESOutNumbered">
    <w:name w:val="DfESOutNumbered"/>
    <w:basedOn w:val="Normal"/>
    <w:link w:val="DfESOutNumberedChar"/>
    <w:rsid w:val="00F53F2C"/>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53F2C"/>
    <w:rPr>
      <w:rFonts w:ascii="Arial" w:eastAsia="Times New Roman" w:hAnsi="Arial" w:cs="Arial"/>
      <w:szCs w:val="20"/>
    </w:rPr>
  </w:style>
  <w:style w:type="paragraph" w:customStyle="1" w:styleId="DeptBullets">
    <w:name w:val="DeptBullets"/>
    <w:basedOn w:val="Normal"/>
    <w:link w:val="DeptBulletsChar"/>
    <w:rsid w:val="00F53F2C"/>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53F2C"/>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rsid w:val="00707AE6"/>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707AE6"/>
    <w:pPr>
      <w:numPr>
        <w:numId w:val="1"/>
      </w:numPr>
    </w:pPr>
  </w:style>
  <w:style w:type="character" w:styleId="Hyperlink">
    <w:name w:val="Hyperlink"/>
    <w:basedOn w:val="DefaultParagraphFont"/>
    <w:uiPriority w:val="99"/>
    <w:unhideWhenUsed/>
    <w:rsid w:val="0087044A"/>
    <w:rPr>
      <w:color w:val="0563C1" w:themeColor="hyperlink"/>
      <w:u w:val="single"/>
    </w:rPr>
  </w:style>
  <w:style w:type="paragraph" w:customStyle="1" w:styleId="DfESOutNumbered">
    <w:name w:val="DfESOutNumbered"/>
    <w:basedOn w:val="Normal"/>
    <w:link w:val="DfESOutNumberedChar"/>
    <w:rsid w:val="00F53F2C"/>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53F2C"/>
    <w:rPr>
      <w:rFonts w:ascii="Arial" w:eastAsia="Times New Roman" w:hAnsi="Arial" w:cs="Arial"/>
      <w:szCs w:val="20"/>
    </w:rPr>
  </w:style>
  <w:style w:type="paragraph" w:customStyle="1" w:styleId="DeptBullets">
    <w:name w:val="DeptBullets"/>
    <w:basedOn w:val="Normal"/>
    <w:link w:val="DeptBulletsChar"/>
    <w:rsid w:val="00F53F2C"/>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53F2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16a0fcbdf5048b8bae97ca465144b5f xmlns="8306dee7-2a66-4e76-9bc9-b17c49811503">
      <Terms xmlns="http://schemas.microsoft.com/office/infopath/2007/PartnerControls"/>
    </m16a0fcbdf5048b8bae97ca465144b5f>
    <h4353009ac8f49cab6629cd2b92d83cc xmlns="8306dee7-2a66-4e76-9bc9-b17c49811503">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h4353009ac8f49cab6629cd2b92d83cc>
    <h5181134883947a99a38d116ffff0102 xmlns="194f479e-3c8e-48ee-9e69-9638d00c8df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je49be6c29ff473f849910c8f30b16a7 xmlns="8306dee7-2a66-4e76-9bc9-b17c498115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49be6c29ff473f849910c8f30b16a7>
    <_dlc_DocId xmlns="8306dee7-2a66-4e76-9bc9-b17c49811503">PANQNSCAKNWW-4-49179</_dlc_DocId>
    <_dlc_DocIdUrl xmlns="8306dee7-2a66-4e76-9bc9-b17c49811503">
      <Url>https://educationgovuk.sharepoint.com/sites/ncs/_layouts/15/DocIdRedir.aspx?ID=PANQNSCAKNWW-4-49179</Url>
      <Description>PANQNSCAKNWW-4-49179</Description>
    </_dlc_DocIdUrl>
    <h5181134883947a99a38d116ffff0006 xmlns="194f479e-3c8e-48ee-9e69-9638d00c8dff">
      <Terms xmlns="http://schemas.microsoft.com/office/infopath/2007/PartnerControls"/>
    </h5181134883947a99a38d116ffff0006>
    <h505ff8e591445c4a411020ed2fb1d15 xmlns="8306dee7-2a66-4e76-9bc9-b17c49811503">
      <Terms xmlns="http://schemas.microsoft.com/office/infopath/2007/PartnerControls"/>
    </h505ff8e591445c4a411020ed2fb1d15>
    <Comments xmlns="http://schemas.microsoft.com/sharepoint/v3" xsi:nil="true"/>
    <IWPContributor xmlns="6995683e-4a58-4759-8666-0773253d2c28">
      <UserInfo>
        <DisplayName/>
        <AccountId xsi:nil="true"/>
        <AccountType/>
      </UserInfo>
    </IWPContributor>
    <TaxCatchAll xmlns="8c566321-f672-4e06-a901-b5e72b4c4357">
      <Value>4</Value>
      <Value>2</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54474387A9198D4A8B727F92F12DE1890A000BE7A1C814A23E4B807478122964B9C9" ma:contentTypeVersion="43" ma:contentTypeDescription="For programme or project documents. Records retained for 10 years." ma:contentTypeScope="" ma:versionID="3464b3e64cb0320ad37a0e9d17bcabb7">
  <xsd:schema xmlns:xsd="http://www.w3.org/2001/XMLSchema" xmlns:xs="http://www.w3.org/2001/XMLSchema" xmlns:p="http://schemas.microsoft.com/office/2006/metadata/properties" xmlns:ns1="http://schemas.microsoft.com/sharepoint/v3" xmlns:ns2="8306dee7-2a66-4e76-9bc9-b17c49811503" xmlns:ns3="8c566321-f672-4e06-a901-b5e72b4c4357" xmlns:ns4="6995683e-4a58-4759-8666-0773253d2c28" xmlns:ns5="194f479e-3c8e-48ee-9e69-9638d00c8dff" targetNamespace="http://schemas.microsoft.com/office/2006/metadata/properties" ma:root="true" ma:fieldsID="067604210937febcf91bbd4d408060b5" ns1:_="" ns2:_="" ns3:_="" ns4:_="" ns5:_="">
    <xsd:import namespace="http://schemas.microsoft.com/sharepoint/v3"/>
    <xsd:import namespace="8306dee7-2a66-4e76-9bc9-b17c49811503"/>
    <xsd:import namespace="8c566321-f672-4e06-a901-b5e72b4c4357"/>
    <xsd:import namespace="6995683e-4a58-4759-8666-0773253d2c28"/>
    <xsd:import namespace="194f479e-3c8e-48ee-9e69-9638d00c8df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m16a0fcbdf5048b8bae97ca465144b5f" minOccurs="0"/>
                <xsd:element ref="ns2:je49be6c29ff473f849910c8f30b16a7" minOccurs="0"/>
                <xsd:element ref="ns2:h505ff8e591445c4a411020ed2fb1d15" minOccurs="0"/>
                <xsd:element ref="ns2:h4353009ac8f49cab6629cd2b92d83cc"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06dee7-2a66-4e76-9bc9-b17c498115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16a0fcbdf5048b8bae97ca465144b5f" ma:index="22" nillable="true" ma:taxonomy="true" ma:internalName="m16a0fcbdf5048b8bae97ca465144b5f" ma:taxonomyFieldName="IWPFunction" ma:displayName="Function" ma:readOnly="false" ma:fieldId="{616a0fcb-df50-48b8-bae9-7ca465144b5f}"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je49be6c29ff473f849910c8f30b16a7" ma:index="23" ma:taxonomy="true" ma:internalName="je49be6c29ff473f849910c8f30b16a7" ma:taxonomyFieldName="IWPRightsProtectiveMarking" ma:displayName="Rights: Protective Marking" ma:readOnly="false" ma:default="1;#Official|0884c477-2e62-47ea-b19c-5af6e91124c5" ma:fieldId="{3e49be6c-29ff-473f-8499-10c8f30b16a7}"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h505ff8e591445c4a411020ed2fb1d15" ma:index="24" nillable="true" ma:taxonomy="true" ma:internalName="h505ff8e591445c4a411020ed2fb1d15" ma:taxonomyFieldName="IWPSiteType" ma:displayName="Site Type" ma:readOnly="false" ma:fieldId="{1505ff8e-5914-45c4-a411-020ed2fb1d15}"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4353009ac8f49cab6629cd2b92d83cc" ma:index="25" ma:taxonomy="true" ma:internalName="h4353009ac8f49cab6629cd2b92d83cc" ma:taxonomyFieldName="IWPOrganisationalUnit" ma:displayName="Organisational Unit" ma:readOnly="false" ma:default="2;#NCTL|50b03fc4-9596-44c0-8ddf-78c55856c7ae" ma:fieldId="{14353009-ac8f-49ca-b662-9cd2b92d83c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f85ddcf-b548-404c-a476-1bccce97e0ff}" ma:internalName="TaxCatchAll" ma:showField="CatchAllData" ma:web="8306dee7-2a66-4e76-9bc9-b17c4981150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f85ddcf-b548-404c-a476-1bccce97e0ff}" ma:internalName="TaxCatchAllLabel" ma:readOnly="true" ma:showField="CatchAllDataLabel" ma:web="8306dee7-2a66-4e76-9bc9-b17c498115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95683e-4a58-4759-8666-0773253d2c28"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4f479e-3c8e-48ee-9e69-9638d00c8dff"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NCTL|8a55f59b-7d94-44dd-a344-986d47acf947"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4508F-012E-4423-884C-F1CAE71FD9D6}">
  <ds:schemaRefs>
    <ds:schemaRef ds:uri="http://schemas.microsoft.com/sharepoint/events"/>
  </ds:schemaRefs>
</ds:datastoreItem>
</file>

<file path=customXml/itemProps2.xml><?xml version="1.0" encoding="utf-8"?>
<ds:datastoreItem xmlns:ds="http://schemas.openxmlformats.org/officeDocument/2006/customXml" ds:itemID="{370FD96D-6E28-43F9-A909-E51B66FACC3E}">
  <ds:schemaRefs>
    <ds:schemaRef ds:uri="http://schemas.microsoft.com/sharepoint/v3/contenttype/forms"/>
  </ds:schemaRefs>
</ds:datastoreItem>
</file>

<file path=customXml/itemProps3.xml><?xml version="1.0" encoding="utf-8"?>
<ds:datastoreItem xmlns:ds="http://schemas.openxmlformats.org/officeDocument/2006/customXml" ds:itemID="{6C2B1BDC-67F4-444E-A9EB-492CBF68CA14}">
  <ds:schemaRefs>
    <ds:schemaRef ds:uri="8c566321-f672-4e06-a901-b5e72b4c4357"/>
    <ds:schemaRef ds:uri="http://purl.org/dc/elements/1.1/"/>
    <ds:schemaRef ds:uri="6995683e-4a58-4759-8666-0773253d2c28"/>
    <ds:schemaRef ds:uri="http://schemas.microsoft.com/office/2006/metadata/properties"/>
    <ds:schemaRef ds:uri="http://purl.org/dc/dcmitype/"/>
    <ds:schemaRef ds:uri="8306dee7-2a66-4e76-9bc9-b17c4981150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94f479e-3c8e-48ee-9e69-9638d00c8dff"/>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E21ED68-BFB4-4367-907B-3967A43C6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06dee7-2a66-4e76-9bc9-b17c49811503"/>
    <ds:schemaRef ds:uri="8c566321-f672-4e06-a901-b5e72b4c4357"/>
    <ds:schemaRef ds:uri="6995683e-4a58-4759-8666-0773253d2c28"/>
    <ds:schemaRef ds:uri="194f479e-3c8e-48ee-9e69-9638d00c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IOP audit form</vt:lpstr>
    </vt:vector>
  </TitlesOfParts>
  <Company>DfE</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IOP audit form</dc:title>
  <dc:creator>BIELBY, Corrina</dc:creator>
  <cp:lastModifiedBy>Andrew Lee</cp:lastModifiedBy>
  <cp:revision>4</cp:revision>
  <cp:lastPrinted>2018-09-20T11:58:00Z</cp:lastPrinted>
  <dcterms:created xsi:type="dcterms:W3CDTF">2019-01-02T16:41:00Z</dcterms:created>
  <dcterms:modified xsi:type="dcterms:W3CDTF">2019-01-22T10:07:00Z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0x01010054474387A9198D4A8B727F92F12DE1890A000BE7A1C814A23E4B807478122964B9C9</vt:lpwstr>
  </property>
  <property fmtid="{D5CDD505-2E9C-101B-9397-08002B2CF9AE}" pid="3" name="_dlc_DocIdItemGuid">
    <vt:lpwstr>82d2044f-03a1-4f85-8063-03d6a9bca9fb</vt:lpwstr>
  </property>
  <property fmtid="{D5CDD505-2E9C-101B-9397-08002B2CF9AE}" pid="4" name="IWPOrganisationalUnit">
    <vt:lpwstr>2;#NCTL|50b03fc4-9596-44c0-8ddf-78c55856c7ae</vt:lpwstr>
  </property>
  <property fmtid="{D5CDD505-2E9C-101B-9397-08002B2CF9AE}" pid="5" name="IWPOwner">
    <vt:lpwstr>4;#DfE|a484111e-5b24-4ad9-9778-c536c8c88985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