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603AD" w14:textId="77777777" w:rsidR="00981540" w:rsidRDefault="00981540" w:rsidP="00D33BE7">
      <w:pPr>
        <w:jc w:val="center"/>
        <w:rPr>
          <w:rFonts w:ascii="Arial" w:hAnsi="Arial" w:cs="Arial"/>
          <w:b/>
          <w:sz w:val="36"/>
          <w:szCs w:val="36"/>
        </w:rPr>
      </w:pPr>
      <w:r>
        <w:rPr>
          <w:rFonts w:ascii="Arial" w:hAnsi="Arial" w:cs="Arial"/>
          <w:b/>
          <w:noProof/>
          <w:sz w:val="36"/>
          <w:szCs w:val="36"/>
          <w:lang w:eastAsia="en-GB"/>
        </w:rPr>
        <w:drawing>
          <wp:inline distT="0" distB="0" distL="0" distR="0" wp14:anchorId="1960164D" wp14:editId="2DC2AFE8">
            <wp:extent cx="5043170" cy="520700"/>
            <wp:effectExtent l="0" t="0" r="5080" b="0"/>
            <wp:docPr id="1" name="Picture 1" descr="V:\ITE\TSST\Process documennts\Appropval and logo guidelines\IOP_London(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TE\TSST\Process documennts\Appropval and logo guidelines\IOP_London(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3170" cy="520700"/>
                    </a:xfrm>
                    <a:prstGeom prst="rect">
                      <a:avLst/>
                    </a:prstGeom>
                    <a:noFill/>
                    <a:ln>
                      <a:noFill/>
                    </a:ln>
                  </pic:spPr>
                </pic:pic>
              </a:graphicData>
            </a:graphic>
          </wp:inline>
        </w:drawing>
      </w:r>
    </w:p>
    <w:p w14:paraId="7023099C" w14:textId="77777777" w:rsidR="00981540" w:rsidRDefault="00981540" w:rsidP="00D33BE7">
      <w:pPr>
        <w:jc w:val="center"/>
        <w:rPr>
          <w:rFonts w:ascii="Arial" w:hAnsi="Arial" w:cs="Arial"/>
          <w:b/>
          <w:sz w:val="36"/>
          <w:szCs w:val="36"/>
        </w:rPr>
      </w:pPr>
    </w:p>
    <w:p w14:paraId="6DE8E034" w14:textId="0127D500" w:rsidR="00D33BE7" w:rsidRPr="006F4A41" w:rsidRDefault="00A1690F" w:rsidP="00D33BE7">
      <w:pPr>
        <w:jc w:val="center"/>
        <w:rPr>
          <w:rFonts w:ascii="Arial" w:hAnsi="Arial" w:cs="Arial"/>
          <w:b/>
          <w:sz w:val="36"/>
          <w:szCs w:val="36"/>
        </w:rPr>
      </w:pPr>
      <w:r w:rsidRPr="006F4A41">
        <w:rPr>
          <w:rFonts w:ascii="Arial" w:hAnsi="Arial" w:cs="Arial"/>
          <w:b/>
          <w:sz w:val="36"/>
          <w:szCs w:val="36"/>
        </w:rPr>
        <w:t>TSST COURSE AUDIT FORM</w:t>
      </w:r>
    </w:p>
    <w:p w14:paraId="19EE1704" w14:textId="77777777" w:rsidR="00A1690F" w:rsidRPr="006F4A41" w:rsidRDefault="00A1690F" w:rsidP="00D33BE7">
      <w:pPr>
        <w:jc w:val="center"/>
        <w:rPr>
          <w:rFonts w:ascii="Arial" w:hAnsi="Arial" w:cs="Arial"/>
          <w:b/>
          <w:sz w:val="24"/>
          <w:szCs w:val="24"/>
        </w:rPr>
      </w:pPr>
    </w:p>
    <w:p w14:paraId="5DF5AC20" w14:textId="77777777" w:rsidR="00A1690F" w:rsidRPr="006F4A41" w:rsidRDefault="00A1690F" w:rsidP="00A1690F">
      <w:pPr>
        <w:jc w:val="center"/>
        <w:rPr>
          <w:rFonts w:ascii="Arial" w:hAnsi="Arial" w:cs="Arial"/>
          <w:b/>
          <w:sz w:val="24"/>
          <w:szCs w:val="24"/>
        </w:rPr>
      </w:pPr>
      <w:r w:rsidRPr="006F4A41">
        <w:rPr>
          <w:rFonts w:ascii="Arial" w:hAnsi="Arial" w:cs="Arial"/>
          <w:b/>
          <w:sz w:val="24"/>
          <w:szCs w:val="24"/>
        </w:rPr>
        <w:t>This form is designed to allow community based panels of teachers to evaluate each other's course, facilitated by the Institute of Physics.</w:t>
      </w:r>
    </w:p>
    <w:p w14:paraId="34D91FE4" w14:textId="3AA50938" w:rsidR="00A1690F" w:rsidRPr="006F4A41" w:rsidRDefault="00A1690F" w:rsidP="00A1690F">
      <w:pPr>
        <w:jc w:val="center"/>
        <w:rPr>
          <w:rFonts w:ascii="Arial" w:hAnsi="Arial" w:cs="Arial"/>
          <w:b/>
          <w:sz w:val="24"/>
          <w:szCs w:val="24"/>
        </w:rPr>
      </w:pPr>
      <w:r w:rsidRPr="006F4A41">
        <w:rPr>
          <w:rFonts w:ascii="Arial" w:hAnsi="Arial" w:cs="Arial"/>
          <w:b/>
          <w:sz w:val="24"/>
          <w:szCs w:val="24"/>
        </w:rPr>
        <w:t>Courses which meet the required standard will be deemed to have receive</w:t>
      </w:r>
      <w:r w:rsidR="00C45DC4">
        <w:rPr>
          <w:rFonts w:ascii="Arial" w:hAnsi="Arial" w:cs="Arial"/>
          <w:b/>
          <w:sz w:val="24"/>
          <w:szCs w:val="24"/>
        </w:rPr>
        <w:t>d</w:t>
      </w:r>
      <w:r w:rsidR="00981540">
        <w:rPr>
          <w:rFonts w:ascii="Arial" w:hAnsi="Arial" w:cs="Arial"/>
          <w:b/>
          <w:sz w:val="24"/>
          <w:szCs w:val="24"/>
        </w:rPr>
        <w:t xml:space="preserve"> IOP-</w:t>
      </w:r>
      <w:r w:rsidRPr="006F4A41">
        <w:rPr>
          <w:rFonts w:ascii="Arial" w:hAnsi="Arial" w:cs="Arial"/>
          <w:b/>
          <w:sz w:val="24"/>
          <w:szCs w:val="24"/>
        </w:rPr>
        <w:t>enabled community approval.</w:t>
      </w:r>
    </w:p>
    <w:p w14:paraId="08A9469F" w14:textId="77777777" w:rsidR="00A1690F" w:rsidRPr="006F4A41" w:rsidRDefault="00A1690F" w:rsidP="00A1690F">
      <w:pPr>
        <w:jc w:val="center"/>
        <w:rPr>
          <w:rFonts w:ascii="Arial" w:hAnsi="Arial" w:cs="Arial"/>
          <w:b/>
          <w:sz w:val="24"/>
          <w:szCs w:val="24"/>
        </w:rPr>
      </w:pPr>
      <w:r w:rsidRPr="006F4A41">
        <w:rPr>
          <w:rFonts w:ascii="Arial" w:hAnsi="Arial" w:cs="Arial"/>
          <w:b/>
          <w:sz w:val="24"/>
          <w:szCs w:val="24"/>
        </w:rPr>
        <w:t>Evaluators will be primarily looking at consistency between course objectives/outcomes and mode of delivery.  The audit form is designed to test the coherence of the course as described. Individual courses may vary in length and it is for individual participants to decide which advertised length suits their needs best.</w:t>
      </w:r>
    </w:p>
    <w:p w14:paraId="6106FE9A" w14:textId="6B40A3B5" w:rsidR="00A1690F" w:rsidRPr="006F4A41" w:rsidRDefault="00A1690F" w:rsidP="00A1690F">
      <w:pPr>
        <w:jc w:val="center"/>
        <w:rPr>
          <w:rFonts w:ascii="Arial" w:hAnsi="Arial" w:cs="Arial"/>
          <w:b/>
          <w:sz w:val="24"/>
          <w:szCs w:val="24"/>
        </w:rPr>
      </w:pPr>
      <w:r w:rsidRPr="006F4A41">
        <w:rPr>
          <w:rFonts w:ascii="Arial" w:hAnsi="Arial" w:cs="Arial"/>
          <w:b/>
          <w:sz w:val="24"/>
          <w:szCs w:val="24"/>
        </w:rPr>
        <w:t xml:space="preserve">However, based on community feedback, it was felt that it would be helpful to provide some guidance as to specific aspects. Most specific recommendations are given in the Notes columns. In addition it was felt that a TSST course </w:t>
      </w:r>
      <w:r w:rsidR="00401CEE">
        <w:rPr>
          <w:rFonts w:ascii="Arial" w:hAnsi="Arial" w:cs="Arial"/>
          <w:b/>
          <w:sz w:val="24"/>
          <w:szCs w:val="24"/>
        </w:rPr>
        <w:t>securing</w:t>
      </w:r>
      <w:r w:rsidR="00D7531D" w:rsidRPr="006F4A41">
        <w:rPr>
          <w:rFonts w:ascii="Arial" w:hAnsi="Arial" w:cs="Arial"/>
          <w:b/>
          <w:sz w:val="24"/>
          <w:szCs w:val="24"/>
        </w:rPr>
        <w:t xml:space="preserve"> IOP approval </w:t>
      </w:r>
      <w:r w:rsidRPr="006F4A41">
        <w:rPr>
          <w:rFonts w:ascii="Arial" w:hAnsi="Arial" w:cs="Arial"/>
          <w:b/>
          <w:sz w:val="24"/>
          <w:szCs w:val="24"/>
        </w:rPr>
        <w:t xml:space="preserve">would normally be expected to take </w:t>
      </w:r>
      <w:r w:rsidRPr="006F4A41">
        <w:rPr>
          <w:rFonts w:ascii="Arial" w:hAnsi="Arial" w:cs="Arial"/>
          <w:b/>
          <w:bCs/>
          <w:sz w:val="24"/>
          <w:szCs w:val="24"/>
        </w:rPr>
        <w:t>30-50 hours to complete, excluding unmonitored independent learning time</w:t>
      </w:r>
      <w:r w:rsidRPr="006F4A41">
        <w:rPr>
          <w:rFonts w:ascii="Arial" w:hAnsi="Arial" w:cs="Arial"/>
          <w:b/>
          <w:sz w:val="24"/>
          <w:szCs w:val="24"/>
        </w:rPr>
        <w:t>. Please note that a course submitted for auditing will not be penalised if it does not meet a stated guideline. However, the approval panel will expect to see some justification.</w:t>
      </w:r>
    </w:p>
    <w:p w14:paraId="646246AA" w14:textId="77777777" w:rsidR="00A1690F" w:rsidRPr="006F4A41" w:rsidRDefault="00A1690F" w:rsidP="00A1690F">
      <w:pPr>
        <w:jc w:val="center"/>
        <w:rPr>
          <w:rFonts w:ascii="Arial" w:hAnsi="Arial" w:cs="Arial"/>
          <w:b/>
          <w:sz w:val="24"/>
          <w:szCs w:val="24"/>
        </w:rPr>
      </w:pPr>
      <w:r w:rsidRPr="006F4A41">
        <w:rPr>
          <w:rFonts w:ascii="Arial" w:hAnsi="Arial" w:cs="Arial"/>
          <w:b/>
          <w:sz w:val="24"/>
          <w:szCs w:val="24"/>
        </w:rPr>
        <w:t>Institute of Physics will publish details of all community approved courses on the IOP website.</w:t>
      </w:r>
    </w:p>
    <w:p w14:paraId="293DD71A" w14:textId="0365B2F4" w:rsidR="00A1690F" w:rsidRDefault="00A1690F" w:rsidP="00D33BE7">
      <w:pPr>
        <w:jc w:val="center"/>
        <w:rPr>
          <w:rFonts w:ascii="Arial" w:hAnsi="Arial" w:cs="Arial"/>
          <w:b/>
          <w:sz w:val="36"/>
          <w:szCs w:val="36"/>
        </w:rPr>
      </w:pPr>
    </w:p>
    <w:p w14:paraId="6F8EFC6D" w14:textId="77777777" w:rsidR="00D44838" w:rsidRPr="006F4A41" w:rsidRDefault="00D44838" w:rsidP="00D33BE7">
      <w:pPr>
        <w:jc w:val="center"/>
        <w:rPr>
          <w:rFonts w:ascii="Arial" w:hAnsi="Arial" w:cs="Arial"/>
          <w:b/>
          <w:sz w:val="36"/>
          <w:szCs w:val="36"/>
        </w:rPr>
      </w:pPr>
    </w:p>
    <w:p w14:paraId="30EC4CEE" w14:textId="77777777" w:rsidR="00D7531D" w:rsidRPr="006F4A41" w:rsidRDefault="00D7531D">
      <w:pPr>
        <w:rPr>
          <w:rFonts w:ascii="Arial" w:hAnsi="Arial" w:cs="Arial"/>
        </w:rPr>
      </w:pPr>
      <w:r w:rsidRPr="006F4A41">
        <w:rPr>
          <w:rFonts w:ascii="Arial" w:hAnsi="Arial" w:cs="Arial"/>
        </w:rPr>
        <w:br w:type="page"/>
      </w:r>
    </w:p>
    <w:tbl>
      <w:tblPr>
        <w:tblStyle w:val="TableGrid"/>
        <w:tblW w:w="15168" w:type="dxa"/>
        <w:tblInd w:w="-572" w:type="dxa"/>
        <w:tblLook w:val="04A0" w:firstRow="1" w:lastRow="0" w:firstColumn="1" w:lastColumn="0" w:noHBand="0" w:noVBand="1"/>
      </w:tblPr>
      <w:tblGrid>
        <w:gridCol w:w="4453"/>
        <w:gridCol w:w="10715"/>
      </w:tblGrid>
      <w:tr w:rsidR="00D7531D" w:rsidRPr="006F4A41" w14:paraId="379A694D" w14:textId="77777777" w:rsidTr="0043394D">
        <w:trPr>
          <w:trHeight w:val="494"/>
        </w:trPr>
        <w:tc>
          <w:tcPr>
            <w:tcW w:w="4453" w:type="dxa"/>
            <w:shd w:val="clear" w:color="auto" w:fill="D9D9D9" w:themeFill="background1" w:themeFillShade="D9"/>
          </w:tcPr>
          <w:p w14:paraId="4B7175B4" w14:textId="623BF329" w:rsidR="00D7531D" w:rsidRPr="006F4A41" w:rsidRDefault="00D7531D" w:rsidP="00E14390">
            <w:pPr>
              <w:tabs>
                <w:tab w:val="left" w:pos="6645"/>
              </w:tabs>
              <w:rPr>
                <w:rFonts w:ascii="Arial" w:hAnsi="Arial" w:cs="Arial"/>
                <w:b/>
                <w:szCs w:val="24"/>
              </w:rPr>
            </w:pPr>
            <w:r w:rsidRPr="006F4A41">
              <w:rPr>
                <w:rFonts w:ascii="Arial" w:hAnsi="Arial" w:cs="Arial"/>
                <w:b/>
                <w:szCs w:val="24"/>
              </w:rPr>
              <w:lastRenderedPageBreak/>
              <w:t>Name of lead school</w:t>
            </w:r>
          </w:p>
          <w:p w14:paraId="5ABD45C4" w14:textId="77777777" w:rsidR="00D7531D" w:rsidRPr="006F4A41" w:rsidRDefault="00D7531D" w:rsidP="00E14390">
            <w:pPr>
              <w:tabs>
                <w:tab w:val="left" w:pos="6645"/>
              </w:tabs>
              <w:rPr>
                <w:rFonts w:ascii="Arial" w:hAnsi="Arial" w:cs="Arial"/>
                <w:b/>
                <w:szCs w:val="24"/>
              </w:rPr>
            </w:pPr>
          </w:p>
        </w:tc>
        <w:tc>
          <w:tcPr>
            <w:tcW w:w="10715" w:type="dxa"/>
          </w:tcPr>
          <w:p w14:paraId="2A2A6611" w14:textId="760D8FA5" w:rsidR="00D7531D" w:rsidRPr="006F4A41" w:rsidRDefault="0043394D" w:rsidP="00E14390">
            <w:pPr>
              <w:tabs>
                <w:tab w:val="left" w:pos="6645"/>
              </w:tabs>
              <w:rPr>
                <w:rFonts w:ascii="Arial" w:hAnsi="Arial" w:cs="Arial"/>
                <w:szCs w:val="24"/>
              </w:rPr>
            </w:pPr>
            <w:r>
              <w:rPr>
                <w:rFonts w:ascii="Arial" w:hAnsi="Arial" w:cs="Arial"/>
                <w:szCs w:val="24"/>
              </w:rPr>
              <w:t>Carmel College Darlington</w:t>
            </w:r>
          </w:p>
        </w:tc>
      </w:tr>
      <w:tr w:rsidR="00D7531D" w:rsidRPr="006F4A41" w14:paraId="58C25432" w14:textId="77777777" w:rsidTr="00056C4F">
        <w:tc>
          <w:tcPr>
            <w:tcW w:w="4453" w:type="dxa"/>
            <w:shd w:val="clear" w:color="auto" w:fill="D9D9D9" w:themeFill="background1" w:themeFillShade="D9"/>
          </w:tcPr>
          <w:p w14:paraId="39C6819F" w14:textId="77777777" w:rsidR="00D7531D" w:rsidRPr="006F4A41" w:rsidRDefault="00D7531D" w:rsidP="00E14390">
            <w:pPr>
              <w:tabs>
                <w:tab w:val="left" w:pos="6645"/>
              </w:tabs>
              <w:rPr>
                <w:rFonts w:ascii="Arial" w:hAnsi="Arial" w:cs="Arial"/>
                <w:b/>
                <w:szCs w:val="24"/>
              </w:rPr>
            </w:pPr>
            <w:r w:rsidRPr="006F4A41">
              <w:rPr>
                <w:rFonts w:ascii="Arial" w:hAnsi="Arial" w:cs="Arial"/>
                <w:b/>
                <w:szCs w:val="24"/>
              </w:rPr>
              <w:t>Lead contact</w:t>
            </w:r>
          </w:p>
          <w:p w14:paraId="0F6771A7" w14:textId="77777777" w:rsidR="00D7531D" w:rsidRPr="006F4A41" w:rsidRDefault="00D7531D" w:rsidP="00E14390">
            <w:pPr>
              <w:tabs>
                <w:tab w:val="left" w:pos="6645"/>
              </w:tabs>
              <w:rPr>
                <w:rFonts w:ascii="Arial" w:hAnsi="Arial" w:cs="Arial"/>
                <w:b/>
                <w:szCs w:val="24"/>
              </w:rPr>
            </w:pPr>
          </w:p>
        </w:tc>
        <w:tc>
          <w:tcPr>
            <w:tcW w:w="10715" w:type="dxa"/>
          </w:tcPr>
          <w:p w14:paraId="5ECF6566" w14:textId="23C55CEC" w:rsidR="00D7531D" w:rsidRDefault="0043394D" w:rsidP="00E14390">
            <w:pPr>
              <w:tabs>
                <w:tab w:val="left" w:pos="6645"/>
              </w:tabs>
              <w:rPr>
                <w:rFonts w:ascii="Arial" w:hAnsi="Arial" w:cs="Arial"/>
                <w:szCs w:val="24"/>
              </w:rPr>
            </w:pPr>
            <w:r>
              <w:rPr>
                <w:rFonts w:ascii="Arial" w:hAnsi="Arial" w:cs="Arial"/>
                <w:szCs w:val="24"/>
              </w:rPr>
              <w:t>Sara Crawshaw (</w:t>
            </w:r>
            <w:hyperlink r:id="rId6" w:history="1">
              <w:r w:rsidRPr="00D05DD7">
                <w:rPr>
                  <w:rStyle w:val="Hyperlink"/>
                  <w:rFonts w:ascii="Arial" w:hAnsi="Arial" w:cs="Arial"/>
                  <w:szCs w:val="24"/>
                </w:rPr>
                <w:t>scrawshaw@carmel.org.uk)</w:t>
              </w:r>
            </w:hyperlink>
            <w:r>
              <w:rPr>
                <w:rFonts w:ascii="Arial" w:hAnsi="Arial" w:cs="Arial"/>
                <w:szCs w:val="24"/>
              </w:rPr>
              <w:t xml:space="preserve"> or David Bailey (</w:t>
            </w:r>
            <w:hyperlink r:id="rId7" w:history="1">
              <w:r w:rsidRPr="00D05DD7">
                <w:rPr>
                  <w:rStyle w:val="Hyperlink"/>
                  <w:rFonts w:ascii="Arial" w:hAnsi="Arial" w:cs="Arial"/>
                  <w:szCs w:val="24"/>
                </w:rPr>
                <w:t>dbailey@carmel.org.uk)</w:t>
              </w:r>
            </w:hyperlink>
          </w:p>
          <w:p w14:paraId="0E7FD2B0" w14:textId="64C7C4A2" w:rsidR="0043394D" w:rsidRPr="006F4A41" w:rsidRDefault="0043394D" w:rsidP="00E14390">
            <w:pPr>
              <w:tabs>
                <w:tab w:val="left" w:pos="6645"/>
              </w:tabs>
              <w:rPr>
                <w:rFonts w:ascii="Arial" w:hAnsi="Arial" w:cs="Arial"/>
                <w:szCs w:val="24"/>
              </w:rPr>
            </w:pPr>
          </w:p>
        </w:tc>
      </w:tr>
      <w:tr w:rsidR="00D7531D" w:rsidRPr="006F4A41" w14:paraId="6D90BDD9" w14:textId="77777777" w:rsidTr="00056C4F">
        <w:tc>
          <w:tcPr>
            <w:tcW w:w="4453" w:type="dxa"/>
            <w:shd w:val="clear" w:color="auto" w:fill="D9D9D9" w:themeFill="background1" w:themeFillShade="D9"/>
          </w:tcPr>
          <w:p w14:paraId="3224ED17" w14:textId="5571DF22" w:rsidR="00D7531D" w:rsidRPr="006F4A41" w:rsidRDefault="00D7531D" w:rsidP="00E14390">
            <w:pPr>
              <w:tabs>
                <w:tab w:val="left" w:pos="6645"/>
              </w:tabs>
              <w:rPr>
                <w:rFonts w:ascii="Arial" w:hAnsi="Arial" w:cs="Arial"/>
                <w:b/>
                <w:szCs w:val="24"/>
              </w:rPr>
            </w:pPr>
            <w:r w:rsidRPr="006F4A41">
              <w:rPr>
                <w:rFonts w:ascii="Arial" w:hAnsi="Arial" w:cs="Arial"/>
                <w:b/>
                <w:szCs w:val="24"/>
              </w:rPr>
              <w:t>Date submitted</w:t>
            </w:r>
          </w:p>
          <w:p w14:paraId="4DA8468C" w14:textId="77777777" w:rsidR="00D7531D" w:rsidRPr="006F4A41" w:rsidRDefault="00D7531D" w:rsidP="00E14390">
            <w:pPr>
              <w:tabs>
                <w:tab w:val="left" w:pos="6645"/>
              </w:tabs>
              <w:rPr>
                <w:rFonts w:ascii="Arial" w:hAnsi="Arial" w:cs="Arial"/>
                <w:b/>
                <w:szCs w:val="24"/>
              </w:rPr>
            </w:pPr>
          </w:p>
        </w:tc>
        <w:tc>
          <w:tcPr>
            <w:tcW w:w="10715" w:type="dxa"/>
          </w:tcPr>
          <w:p w14:paraId="4BA755BB" w14:textId="4FCF3CD6" w:rsidR="00D7531D" w:rsidRPr="006F4A41" w:rsidRDefault="00F50AF9" w:rsidP="00E14390">
            <w:pPr>
              <w:tabs>
                <w:tab w:val="left" w:pos="6645"/>
              </w:tabs>
              <w:rPr>
                <w:rFonts w:ascii="Arial" w:hAnsi="Arial" w:cs="Arial"/>
                <w:szCs w:val="24"/>
              </w:rPr>
            </w:pPr>
            <w:r>
              <w:rPr>
                <w:rFonts w:ascii="Arial" w:hAnsi="Arial" w:cs="Arial"/>
                <w:szCs w:val="24"/>
              </w:rPr>
              <w:t xml:space="preserve">September 2018 </w:t>
            </w:r>
          </w:p>
        </w:tc>
      </w:tr>
    </w:tbl>
    <w:p w14:paraId="7712AFDF" w14:textId="7964C85A" w:rsidR="00D7531D" w:rsidRDefault="00D7531D" w:rsidP="00D33BE7">
      <w:pPr>
        <w:jc w:val="center"/>
        <w:rPr>
          <w:rFonts w:ascii="Arial" w:hAnsi="Arial" w:cs="Arial"/>
          <w:b/>
          <w:sz w:val="24"/>
          <w:szCs w:val="24"/>
        </w:rPr>
      </w:pPr>
    </w:p>
    <w:tbl>
      <w:tblPr>
        <w:tblStyle w:val="TableGrid"/>
        <w:tblW w:w="15168" w:type="dxa"/>
        <w:tblInd w:w="-572" w:type="dxa"/>
        <w:tblLook w:val="04A0" w:firstRow="1" w:lastRow="0" w:firstColumn="1" w:lastColumn="0" w:noHBand="0" w:noVBand="1"/>
      </w:tblPr>
      <w:tblGrid>
        <w:gridCol w:w="10773"/>
        <w:gridCol w:w="4395"/>
      </w:tblGrid>
      <w:tr w:rsidR="001B543F" w14:paraId="5BFFD5BE" w14:textId="77777777" w:rsidTr="001B543F">
        <w:tc>
          <w:tcPr>
            <w:tcW w:w="10773" w:type="dxa"/>
          </w:tcPr>
          <w:p w14:paraId="762DD1DD" w14:textId="6E031D98" w:rsidR="001B543F" w:rsidRPr="00490AC2" w:rsidRDefault="001B543F" w:rsidP="00D33BE7">
            <w:pPr>
              <w:jc w:val="center"/>
              <w:rPr>
                <w:rFonts w:ascii="Arial" w:hAnsi="Arial" w:cs="Arial"/>
                <w:sz w:val="24"/>
                <w:szCs w:val="24"/>
              </w:rPr>
            </w:pPr>
            <w:r w:rsidRPr="00490AC2">
              <w:rPr>
                <w:rFonts w:ascii="Arial" w:hAnsi="Arial" w:cs="Arial"/>
                <w:sz w:val="24"/>
                <w:szCs w:val="24"/>
              </w:rPr>
              <w:t>Course summary</w:t>
            </w:r>
          </w:p>
        </w:tc>
        <w:tc>
          <w:tcPr>
            <w:tcW w:w="4395" w:type="dxa"/>
          </w:tcPr>
          <w:p w14:paraId="56D8F36F" w14:textId="48A0B318" w:rsidR="001B543F" w:rsidRDefault="001B543F" w:rsidP="00D33BE7">
            <w:pPr>
              <w:jc w:val="center"/>
              <w:rPr>
                <w:rFonts w:ascii="Arial" w:hAnsi="Arial" w:cs="Arial"/>
                <w:b/>
                <w:sz w:val="24"/>
                <w:szCs w:val="24"/>
              </w:rPr>
            </w:pPr>
            <w:r>
              <w:rPr>
                <w:rFonts w:ascii="Arial" w:hAnsi="Arial" w:cs="Arial"/>
                <w:b/>
                <w:sz w:val="24"/>
                <w:szCs w:val="24"/>
              </w:rPr>
              <w:t>Notes</w:t>
            </w:r>
          </w:p>
        </w:tc>
      </w:tr>
      <w:tr w:rsidR="001B543F" w14:paraId="59E5A205" w14:textId="77777777" w:rsidTr="001B543F">
        <w:tc>
          <w:tcPr>
            <w:tcW w:w="10773" w:type="dxa"/>
          </w:tcPr>
          <w:p w14:paraId="2120C411" w14:textId="71D1A47B" w:rsidR="00490AC2" w:rsidRPr="00490AC2" w:rsidRDefault="00490AC2" w:rsidP="00490AC2">
            <w:pPr>
              <w:tabs>
                <w:tab w:val="left" w:pos="4489"/>
              </w:tabs>
              <w:rPr>
                <w:rFonts w:ascii="Arial" w:hAnsi="Arial" w:cs="Arial"/>
                <w:b/>
                <w:sz w:val="24"/>
                <w:szCs w:val="24"/>
              </w:rPr>
            </w:pPr>
            <w:r w:rsidRPr="00490AC2">
              <w:rPr>
                <w:rFonts w:ascii="Arial" w:hAnsi="Arial" w:cs="Arial"/>
                <w:b/>
                <w:sz w:val="24"/>
                <w:szCs w:val="24"/>
              </w:rPr>
              <w:t>Intended Learning Outcomes:</w:t>
            </w:r>
          </w:p>
          <w:p w14:paraId="010E8557" w14:textId="1FFD4BD1" w:rsidR="00490AC2" w:rsidRPr="00490AC2" w:rsidRDefault="00490AC2" w:rsidP="00490AC2">
            <w:pPr>
              <w:tabs>
                <w:tab w:val="left" w:pos="4489"/>
              </w:tabs>
              <w:rPr>
                <w:rFonts w:ascii="Arial" w:hAnsi="Arial" w:cs="Arial"/>
                <w:sz w:val="24"/>
                <w:szCs w:val="24"/>
              </w:rPr>
            </w:pPr>
            <w:r w:rsidRPr="00490AC2">
              <w:rPr>
                <w:rFonts w:ascii="Arial" w:hAnsi="Arial" w:cs="Arial"/>
                <w:sz w:val="24"/>
                <w:szCs w:val="24"/>
              </w:rPr>
              <w:t>• increase you</w:t>
            </w:r>
            <w:r>
              <w:rPr>
                <w:rFonts w:ascii="Arial" w:hAnsi="Arial" w:cs="Arial"/>
                <w:sz w:val="24"/>
                <w:szCs w:val="24"/>
              </w:rPr>
              <w:t xml:space="preserve">r understanding and confidence </w:t>
            </w:r>
            <w:r w:rsidRPr="00490AC2">
              <w:rPr>
                <w:rFonts w:ascii="Arial" w:hAnsi="Arial" w:cs="Arial"/>
                <w:sz w:val="24"/>
                <w:szCs w:val="24"/>
              </w:rPr>
              <w:t xml:space="preserve">in the teaching of physics at 11-16 </w:t>
            </w:r>
          </w:p>
          <w:p w14:paraId="251E00D2" w14:textId="77777777" w:rsidR="00490AC2" w:rsidRPr="00490AC2" w:rsidRDefault="00490AC2" w:rsidP="00490AC2">
            <w:pPr>
              <w:tabs>
                <w:tab w:val="left" w:pos="4489"/>
              </w:tabs>
              <w:rPr>
                <w:rFonts w:ascii="Arial" w:hAnsi="Arial" w:cs="Arial"/>
                <w:sz w:val="24"/>
                <w:szCs w:val="24"/>
              </w:rPr>
            </w:pPr>
            <w:r w:rsidRPr="00490AC2">
              <w:rPr>
                <w:rFonts w:ascii="Arial" w:hAnsi="Arial" w:cs="Arial"/>
                <w:sz w:val="24"/>
                <w:szCs w:val="24"/>
              </w:rPr>
              <w:t>• develop an understanding of common misconceptions and how these can be addressed</w:t>
            </w:r>
          </w:p>
          <w:p w14:paraId="0B124432" w14:textId="77777777" w:rsidR="00490AC2" w:rsidRPr="00490AC2" w:rsidRDefault="00490AC2" w:rsidP="00490AC2">
            <w:pPr>
              <w:tabs>
                <w:tab w:val="left" w:pos="4489"/>
              </w:tabs>
              <w:rPr>
                <w:rFonts w:ascii="Arial" w:hAnsi="Arial" w:cs="Arial"/>
                <w:sz w:val="24"/>
                <w:szCs w:val="24"/>
              </w:rPr>
            </w:pPr>
            <w:r w:rsidRPr="00490AC2">
              <w:rPr>
                <w:rFonts w:ascii="Arial" w:hAnsi="Arial" w:cs="Arial"/>
                <w:sz w:val="24"/>
                <w:szCs w:val="24"/>
              </w:rPr>
              <w:t>• employ the effective use of scientific models relevant to the teaching of physics</w:t>
            </w:r>
          </w:p>
          <w:p w14:paraId="56CEF137" w14:textId="77777777" w:rsidR="00490AC2" w:rsidRPr="00490AC2" w:rsidRDefault="00490AC2" w:rsidP="00490AC2">
            <w:pPr>
              <w:tabs>
                <w:tab w:val="left" w:pos="4489"/>
              </w:tabs>
              <w:rPr>
                <w:rFonts w:ascii="Arial" w:hAnsi="Arial" w:cs="Arial"/>
                <w:sz w:val="24"/>
                <w:szCs w:val="24"/>
              </w:rPr>
            </w:pPr>
            <w:r w:rsidRPr="00490AC2">
              <w:rPr>
                <w:rFonts w:ascii="Arial" w:hAnsi="Arial" w:cs="Arial"/>
                <w:sz w:val="24"/>
                <w:szCs w:val="24"/>
              </w:rPr>
              <w:t>• rehearse opportunities for practical work</w:t>
            </w:r>
          </w:p>
          <w:p w14:paraId="5C08B245" w14:textId="77777777" w:rsidR="00490AC2" w:rsidRPr="00490AC2" w:rsidRDefault="00490AC2" w:rsidP="00490AC2">
            <w:pPr>
              <w:tabs>
                <w:tab w:val="left" w:pos="4489"/>
              </w:tabs>
              <w:rPr>
                <w:rFonts w:ascii="Arial" w:hAnsi="Arial" w:cs="Arial"/>
                <w:sz w:val="24"/>
                <w:szCs w:val="24"/>
              </w:rPr>
            </w:pPr>
            <w:r w:rsidRPr="00490AC2">
              <w:rPr>
                <w:rFonts w:ascii="Arial" w:hAnsi="Arial" w:cs="Arial"/>
                <w:sz w:val="24"/>
                <w:szCs w:val="24"/>
              </w:rPr>
              <w:t>• draw on a wider range of techniques, strategies and pedagogies to improve your students’ knowledge and understanding of core concepts</w:t>
            </w:r>
          </w:p>
          <w:p w14:paraId="54ABD6C9" w14:textId="77777777" w:rsidR="00490AC2" w:rsidRPr="00490AC2" w:rsidRDefault="00490AC2" w:rsidP="00490AC2">
            <w:pPr>
              <w:tabs>
                <w:tab w:val="left" w:pos="4489"/>
              </w:tabs>
              <w:rPr>
                <w:rFonts w:ascii="Arial" w:hAnsi="Arial" w:cs="Arial"/>
                <w:sz w:val="24"/>
                <w:szCs w:val="24"/>
              </w:rPr>
            </w:pPr>
            <w:r w:rsidRPr="00490AC2">
              <w:rPr>
                <w:rFonts w:ascii="Arial" w:hAnsi="Arial" w:cs="Arial"/>
                <w:sz w:val="24"/>
                <w:szCs w:val="24"/>
              </w:rPr>
              <w:t>• understand more about the researched benefits of active learning approaches</w:t>
            </w:r>
          </w:p>
          <w:p w14:paraId="5F5BAF10" w14:textId="77777777" w:rsidR="00490AC2" w:rsidRPr="00490AC2" w:rsidRDefault="00490AC2" w:rsidP="00490AC2">
            <w:pPr>
              <w:tabs>
                <w:tab w:val="left" w:pos="4489"/>
              </w:tabs>
              <w:rPr>
                <w:rFonts w:ascii="Arial" w:hAnsi="Arial" w:cs="Arial"/>
                <w:sz w:val="24"/>
                <w:szCs w:val="24"/>
              </w:rPr>
            </w:pPr>
            <w:r w:rsidRPr="00490AC2">
              <w:rPr>
                <w:rFonts w:ascii="Arial" w:hAnsi="Arial" w:cs="Arial"/>
                <w:sz w:val="24"/>
                <w:szCs w:val="24"/>
              </w:rPr>
              <w:t>•  teach the mathematical aspects of physics with greater confidence</w:t>
            </w:r>
          </w:p>
          <w:p w14:paraId="5B57F50B" w14:textId="77777777" w:rsidR="00490AC2" w:rsidRPr="00490AC2" w:rsidRDefault="00490AC2" w:rsidP="00490AC2">
            <w:pPr>
              <w:tabs>
                <w:tab w:val="left" w:pos="4489"/>
              </w:tabs>
              <w:rPr>
                <w:rFonts w:ascii="Arial" w:hAnsi="Arial" w:cs="Arial"/>
                <w:sz w:val="24"/>
                <w:szCs w:val="24"/>
              </w:rPr>
            </w:pPr>
            <w:r w:rsidRPr="00490AC2">
              <w:rPr>
                <w:rFonts w:ascii="Arial" w:hAnsi="Arial" w:cs="Arial"/>
                <w:sz w:val="24"/>
                <w:szCs w:val="24"/>
              </w:rPr>
              <w:t xml:space="preserve">• broaden the scope, relevance and coherence of your existing schemes of work </w:t>
            </w:r>
          </w:p>
          <w:p w14:paraId="586086FA" w14:textId="77777777" w:rsidR="00490AC2" w:rsidRPr="00490AC2" w:rsidRDefault="00490AC2" w:rsidP="00490AC2">
            <w:pPr>
              <w:tabs>
                <w:tab w:val="left" w:pos="4489"/>
              </w:tabs>
              <w:rPr>
                <w:rFonts w:ascii="Arial" w:hAnsi="Arial" w:cs="Arial"/>
                <w:sz w:val="24"/>
                <w:szCs w:val="24"/>
              </w:rPr>
            </w:pPr>
            <w:r w:rsidRPr="00490AC2">
              <w:rPr>
                <w:rFonts w:ascii="Arial" w:hAnsi="Arial" w:cs="Arial"/>
                <w:sz w:val="24"/>
                <w:szCs w:val="24"/>
              </w:rPr>
              <w:t>• design, deliver and evaluate learning episodes across the secondary physics curriculum</w:t>
            </w:r>
          </w:p>
          <w:p w14:paraId="0A2718D0" w14:textId="77777777" w:rsidR="00490AC2" w:rsidRPr="00490AC2" w:rsidRDefault="00490AC2" w:rsidP="00490AC2">
            <w:pPr>
              <w:tabs>
                <w:tab w:val="left" w:pos="4489"/>
              </w:tabs>
              <w:rPr>
                <w:rFonts w:ascii="Arial" w:hAnsi="Arial" w:cs="Arial"/>
                <w:sz w:val="24"/>
                <w:szCs w:val="24"/>
              </w:rPr>
            </w:pPr>
          </w:p>
          <w:p w14:paraId="18EF9DEF" w14:textId="77777777" w:rsidR="00490AC2" w:rsidRPr="00490AC2" w:rsidRDefault="00490AC2" w:rsidP="00490AC2">
            <w:pPr>
              <w:tabs>
                <w:tab w:val="left" w:pos="4489"/>
              </w:tabs>
              <w:rPr>
                <w:rFonts w:ascii="Arial" w:hAnsi="Arial" w:cs="Arial"/>
                <w:b/>
                <w:sz w:val="24"/>
                <w:szCs w:val="24"/>
              </w:rPr>
            </w:pPr>
            <w:r w:rsidRPr="00490AC2">
              <w:rPr>
                <w:rFonts w:ascii="Arial" w:hAnsi="Arial" w:cs="Arial"/>
                <w:b/>
                <w:sz w:val="24"/>
                <w:szCs w:val="24"/>
              </w:rPr>
              <w:t>Structure</w:t>
            </w:r>
          </w:p>
          <w:p w14:paraId="3B8AA068" w14:textId="6062D5BC" w:rsidR="00490AC2" w:rsidRPr="00490AC2" w:rsidRDefault="00490AC2" w:rsidP="00490AC2">
            <w:pPr>
              <w:tabs>
                <w:tab w:val="left" w:pos="4489"/>
              </w:tabs>
              <w:rPr>
                <w:rFonts w:ascii="Arial" w:hAnsi="Arial" w:cs="Arial"/>
                <w:sz w:val="24"/>
                <w:szCs w:val="24"/>
              </w:rPr>
            </w:pPr>
            <w:r>
              <w:rPr>
                <w:rFonts w:ascii="Arial" w:hAnsi="Arial" w:cs="Arial"/>
                <w:sz w:val="24"/>
                <w:szCs w:val="24"/>
              </w:rPr>
              <w:t>The course consists of 8 face-to-</w:t>
            </w:r>
            <w:r w:rsidRPr="00490AC2">
              <w:rPr>
                <w:rFonts w:ascii="Arial" w:hAnsi="Arial" w:cs="Arial"/>
                <w:sz w:val="24"/>
                <w:szCs w:val="24"/>
              </w:rPr>
              <w:t xml:space="preserve">face sessions and 8 gap/post course tasks. The first and last sessions are full days (6 hrs F2F time), the 6 sessions in the middle are all 4 hours in length.  Each session is supported by approximately 1 hour pre-session reading and 1 hour post-session reading largely based on the SPT materials. Gap tasks focus on how the developed subject and pedagogical content knowledge are applied in a classroom situation. Participants </w:t>
            </w:r>
            <w:r>
              <w:rPr>
                <w:rFonts w:ascii="Arial" w:hAnsi="Arial" w:cs="Arial"/>
                <w:sz w:val="24"/>
                <w:szCs w:val="24"/>
              </w:rPr>
              <w:t>are expected to work with an in-</w:t>
            </w:r>
            <w:r w:rsidRPr="00490AC2">
              <w:rPr>
                <w:rFonts w:ascii="Arial" w:hAnsi="Arial" w:cs="Arial"/>
                <w:sz w:val="24"/>
                <w:szCs w:val="24"/>
              </w:rPr>
              <w:t>school buddy to support the reflective elements of this task. Reflective gap tasks are submitted on an online learning platform and completion of this is monitored.</w:t>
            </w:r>
            <w:r>
              <w:rPr>
                <w:rFonts w:ascii="Arial" w:hAnsi="Arial" w:cs="Arial"/>
                <w:sz w:val="24"/>
                <w:szCs w:val="24"/>
              </w:rPr>
              <w:t xml:space="preserve"> Please note that a second cohort runs as 6 full days of CPD, with the sessions combined. The contents, teaching time, online learning and outcomes of the seco</w:t>
            </w:r>
            <w:r w:rsidR="00C85A4B">
              <w:rPr>
                <w:rFonts w:ascii="Arial" w:hAnsi="Arial" w:cs="Arial"/>
                <w:sz w:val="24"/>
                <w:szCs w:val="24"/>
              </w:rPr>
              <w:t>nd cohort are the same as the 8-</w:t>
            </w:r>
            <w:r>
              <w:rPr>
                <w:rFonts w:ascii="Arial" w:hAnsi="Arial" w:cs="Arial"/>
                <w:sz w:val="24"/>
                <w:szCs w:val="24"/>
              </w:rPr>
              <w:t>instance programme.</w:t>
            </w:r>
          </w:p>
          <w:p w14:paraId="503893AA" w14:textId="77777777" w:rsidR="00490AC2" w:rsidRPr="00490AC2" w:rsidRDefault="00490AC2" w:rsidP="00490AC2">
            <w:pPr>
              <w:tabs>
                <w:tab w:val="left" w:pos="4489"/>
              </w:tabs>
              <w:rPr>
                <w:rFonts w:ascii="Arial" w:hAnsi="Arial" w:cs="Arial"/>
                <w:sz w:val="24"/>
                <w:szCs w:val="24"/>
              </w:rPr>
            </w:pPr>
          </w:p>
          <w:p w14:paraId="2585D174" w14:textId="77777777" w:rsidR="00490AC2" w:rsidRPr="00490AC2" w:rsidRDefault="00490AC2" w:rsidP="00490AC2">
            <w:pPr>
              <w:tabs>
                <w:tab w:val="left" w:pos="4489"/>
              </w:tabs>
              <w:rPr>
                <w:rFonts w:ascii="Arial" w:hAnsi="Arial" w:cs="Arial"/>
                <w:b/>
                <w:sz w:val="24"/>
                <w:szCs w:val="24"/>
              </w:rPr>
            </w:pPr>
            <w:r w:rsidRPr="00490AC2">
              <w:rPr>
                <w:rFonts w:ascii="Arial" w:hAnsi="Arial" w:cs="Arial"/>
                <w:b/>
                <w:sz w:val="24"/>
                <w:szCs w:val="24"/>
              </w:rPr>
              <w:lastRenderedPageBreak/>
              <w:t>Content</w:t>
            </w:r>
          </w:p>
          <w:p w14:paraId="19C109D0" w14:textId="082A0C73" w:rsidR="00490AC2" w:rsidRPr="00490AC2" w:rsidRDefault="00490AC2" w:rsidP="00490AC2">
            <w:pPr>
              <w:tabs>
                <w:tab w:val="left" w:pos="4489"/>
              </w:tabs>
              <w:rPr>
                <w:rFonts w:ascii="Arial" w:hAnsi="Arial" w:cs="Arial"/>
                <w:sz w:val="24"/>
                <w:szCs w:val="24"/>
              </w:rPr>
            </w:pPr>
            <w:r w:rsidRPr="00490AC2">
              <w:rPr>
                <w:rFonts w:ascii="Arial" w:hAnsi="Arial" w:cs="Arial"/>
                <w:sz w:val="24"/>
                <w:szCs w:val="24"/>
              </w:rPr>
              <w:t xml:space="preserve">1. Why and how to teach Physics / Forces </w:t>
            </w:r>
            <w:proofErr w:type="spellStart"/>
            <w:r w:rsidRPr="00490AC2">
              <w:rPr>
                <w:rFonts w:ascii="Arial" w:hAnsi="Arial" w:cs="Arial"/>
                <w:sz w:val="24"/>
                <w:szCs w:val="24"/>
              </w:rPr>
              <w:t>pt</w:t>
            </w:r>
            <w:proofErr w:type="spellEnd"/>
            <w:r w:rsidRPr="00490AC2">
              <w:rPr>
                <w:rFonts w:ascii="Arial" w:hAnsi="Arial" w:cs="Arial"/>
                <w:sz w:val="24"/>
                <w:szCs w:val="24"/>
              </w:rPr>
              <w:t xml:space="preserve"> 1:</w:t>
            </w:r>
            <w:r>
              <w:rPr>
                <w:rFonts w:ascii="Arial" w:hAnsi="Arial" w:cs="Arial"/>
                <w:sz w:val="24"/>
                <w:szCs w:val="24"/>
              </w:rPr>
              <w:t xml:space="preserve">    Pedagogical approaches for </w:t>
            </w:r>
            <w:r w:rsidR="00BF0B73">
              <w:rPr>
                <w:rFonts w:ascii="Arial" w:hAnsi="Arial" w:cs="Arial"/>
                <w:sz w:val="24"/>
                <w:szCs w:val="24"/>
              </w:rPr>
              <w:t>teaching</w:t>
            </w:r>
            <w:r w:rsidRPr="00490AC2">
              <w:rPr>
                <w:rFonts w:ascii="Arial" w:hAnsi="Arial" w:cs="Arial"/>
                <w:sz w:val="24"/>
                <w:szCs w:val="24"/>
              </w:rPr>
              <w:t xml:space="preserve"> forces, common forces and a common language to describe them, forces acting on an object which is not moving,  the importance of labelled  free-body force diagrams, using speed as an opportunity to introduce proportional reasoning.</w:t>
            </w:r>
          </w:p>
          <w:p w14:paraId="1DA22CA8" w14:textId="19BE2084" w:rsidR="00490AC2" w:rsidRPr="00490AC2" w:rsidRDefault="00490AC2" w:rsidP="00490AC2">
            <w:pPr>
              <w:tabs>
                <w:tab w:val="left" w:pos="4489"/>
              </w:tabs>
              <w:rPr>
                <w:rFonts w:ascii="Arial" w:hAnsi="Arial" w:cs="Arial"/>
                <w:sz w:val="24"/>
                <w:szCs w:val="24"/>
              </w:rPr>
            </w:pPr>
            <w:r w:rsidRPr="00490AC2">
              <w:rPr>
                <w:rFonts w:ascii="Arial" w:hAnsi="Arial" w:cs="Arial"/>
                <w:sz w:val="24"/>
                <w:szCs w:val="24"/>
              </w:rPr>
              <w:t xml:space="preserve">2. Forces </w:t>
            </w:r>
            <w:proofErr w:type="spellStart"/>
            <w:r>
              <w:rPr>
                <w:rFonts w:ascii="Arial" w:hAnsi="Arial" w:cs="Arial"/>
                <w:sz w:val="24"/>
                <w:szCs w:val="24"/>
              </w:rPr>
              <w:t>pt</w:t>
            </w:r>
            <w:proofErr w:type="spellEnd"/>
            <w:r>
              <w:rPr>
                <w:rFonts w:ascii="Arial" w:hAnsi="Arial" w:cs="Arial"/>
                <w:sz w:val="24"/>
                <w:szCs w:val="24"/>
              </w:rPr>
              <w:t xml:space="preserve"> 2:  Resultant force causing </w:t>
            </w:r>
            <w:r w:rsidRPr="00490AC2">
              <w:rPr>
                <w:rFonts w:ascii="Arial" w:hAnsi="Arial" w:cs="Arial"/>
                <w:sz w:val="24"/>
                <w:szCs w:val="24"/>
              </w:rPr>
              <w:t>a change in motion, the relationship between</w:t>
            </w:r>
            <w:r>
              <w:rPr>
                <w:rFonts w:ascii="Arial" w:hAnsi="Arial" w:cs="Arial"/>
                <w:sz w:val="24"/>
                <w:szCs w:val="24"/>
              </w:rPr>
              <w:t xml:space="preserve"> force, mass and acceleration, d</w:t>
            </w:r>
            <w:r w:rsidRPr="00490AC2">
              <w:rPr>
                <w:rFonts w:ascii="Arial" w:hAnsi="Arial" w:cs="Arial"/>
                <w:sz w:val="24"/>
                <w:szCs w:val="24"/>
              </w:rPr>
              <w:t>istinguish between ‘third law pairs’ of forces and balanced forces, motion of a falling object by considering the forces acting upon it</w:t>
            </w:r>
          </w:p>
          <w:p w14:paraId="7197F66E" w14:textId="7762186E" w:rsidR="00490AC2" w:rsidRPr="00490AC2" w:rsidRDefault="00490AC2" w:rsidP="00490AC2">
            <w:pPr>
              <w:tabs>
                <w:tab w:val="left" w:pos="4489"/>
              </w:tabs>
              <w:rPr>
                <w:rFonts w:ascii="Arial" w:hAnsi="Arial" w:cs="Arial"/>
                <w:sz w:val="24"/>
                <w:szCs w:val="24"/>
              </w:rPr>
            </w:pPr>
            <w:r w:rsidRPr="00490AC2">
              <w:rPr>
                <w:rFonts w:ascii="Arial" w:hAnsi="Arial" w:cs="Arial"/>
                <w:sz w:val="24"/>
                <w:szCs w:val="24"/>
              </w:rPr>
              <w:t>3. Energy (</w:t>
            </w:r>
            <w:proofErr w:type="spellStart"/>
            <w:r w:rsidRPr="00490AC2">
              <w:rPr>
                <w:rFonts w:ascii="Arial" w:hAnsi="Arial" w:cs="Arial"/>
                <w:sz w:val="24"/>
                <w:szCs w:val="24"/>
              </w:rPr>
              <w:t>incl</w:t>
            </w:r>
            <w:proofErr w:type="spellEnd"/>
            <w:r w:rsidRPr="00490AC2">
              <w:rPr>
                <w:rFonts w:ascii="Arial" w:hAnsi="Arial" w:cs="Arial"/>
                <w:sz w:val="24"/>
                <w:szCs w:val="24"/>
              </w:rPr>
              <w:t xml:space="preserve"> thermal transfer):  Scientific models to describe</w:t>
            </w:r>
            <w:r>
              <w:rPr>
                <w:rFonts w:ascii="Arial" w:hAnsi="Arial" w:cs="Arial"/>
                <w:sz w:val="24"/>
                <w:szCs w:val="24"/>
              </w:rPr>
              <w:t xml:space="preserve"> physical concepts, describing </w:t>
            </w:r>
            <w:r w:rsidRPr="00490AC2">
              <w:rPr>
                <w:rFonts w:ascii="Arial" w:hAnsi="Arial" w:cs="Arial"/>
                <w:sz w:val="24"/>
                <w:szCs w:val="24"/>
              </w:rPr>
              <w:t>physical processes in terms of energy stores and transfers, the law of conservation of energy, energy transfers in a physical system, the concept of work, the difference between heat, thermal energy and temperature, evaluate practical activities to show heat transfer by conduction, convection and radiation;</w:t>
            </w:r>
          </w:p>
          <w:p w14:paraId="6DD5CC26" w14:textId="311950A3" w:rsidR="00490AC2" w:rsidRPr="00490AC2" w:rsidRDefault="00490AC2" w:rsidP="00490AC2">
            <w:pPr>
              <w:tabs>
                <w:tab w:val="left" w:pos="4489"/>
              </w:tabs>
              <w:rPr>
                <w:rFonts w:ascii="Arial" w:hAnsi="Arial" w:cs="Arial"/>
                <w:sz w:val="24"/>
                <w:szCs w:val="24"/>
              </w:rPr>
            </w:pPr>
            <w:r w:rsidRPr="00490AC2">
              <w:rPr>
                <w:rFonts w:ascii="Arial" w:hAnsi="Arial" w:cs="Arial"/>
                <w:sz w:val="24"/>
                <w:szCs w:val="24"/>
              </w:rPr>
              <w:t xml:space="preserve">4. Electricity:  Student </w:t>
            </w:r>
            <w:r>
              <w:rPr>
                <w:rFonts w:ascii="Arial" w:hAnsi="Arial" w:cs="Arial"/>
                <w:sz w:val="24"/>
                <w:szCs w:val="24"/>
              </w:rPr>
              <w:t xml:space="preserve">misconceptions in electricity, </w:t>
            </w:r>
            <w:r w:rsidRPr="00490AC2">
              <w:rPr>
                <w:rFonts w:ascii="Arial" w:hAnsi="Arial" w:cs="Arial"/>
                <w:sz w:val="24"/>
                <w:szCs w:val="24"/>
              </w:rPr>
              <w:t>models for</w:t>
            </w:r>
            <w:r>
              <w:rPr>
                <w:rFonts w:ascii="Arial" w:hAnsi="Arial" w:cs="Arial"/>
                <w:sz w:val="24"/>
                <w:szCs w:val="24"/>
              </w:rPr>
              <w:t xml:space="preserve"> teaching electrical circuits, </w:t>
            </w:r>
            <w:r w:rsidRPr="00490AC2">
              <w:rPr>
                <w:rFonts w:ascii="Arial" w:hAnsi="Arial" w:cs="Arial"/>
                <w:sz w:val="24"/>
                <w:szCs w:val="24"/>
              </w:rPr>
              <w:t>charging by friction and static charge, the Van</w:t>
            </w:r>
            <w:r>
              <w:rPr>
                <w:rFonts w:ascii="Arial" w:hAnsi="Arial" w:cs="Arial"/>
                <w:sz w:val="24"/>
                <w:szCs w:val="24"/>
              </w:rPr>
              <w:t xml:space="preserve"> der </w:t>
            </w:r>
            <w:proofErr w:type="spellStart"/>
            <w:r>
              <w:rPr>
                <w:rFonts w:ascii="Arial" w:hAnsi="Arial" w:cs="Arial"/>
                <w:sz w:val="24"/>
                <w:szCs w:val="24"/>
              </w:rPr>
              <w:t>Graaff</w:t>
            </w:r>
            <w:proofErr w:type="spellEnd"/>
            <w:r>
              <w:rPr>
                <w:rFonts w:ascii="Arial" w:hAnsi="Arial" w:cs="Arial"/>
                <w:sz w:val="24"/>
                <w:szCs w:val="24"/>
              </w:rPr>
              <w:t xml:space="preserve"> generator, and the </w:t>
            </w:r>
            <w:r w:rsidRPr="00490AC2">
              <w:rPr>
                <w:rFonts w:ascii="Arial" w:hAnsi="Arial" w:cs="Arial"/>
                <w:sz w:val="24"/>
                <w:szCs w:val="24"/>
              </w:rPr>
              <w:t>behaviour of charges;</w:t>
            </w:r>
          </w:p>
          <w:p w14:paraId="3E05C71D" w14:textId="0CE204F1" w:rsidR="00490AC2" w:rsidRPr="00490AC2" w:rsidRDefault="00490AC2" w:rsidP="00490AC2">
            <w:pPr>
              <w:tabs>
                <w:tab w:val="left" w:pos="4489"/>
              </w:tabs>
              <w:rPr>
                <w:rFonts w:ascii="Arial" w:hAnsi="Arial" w:cs="Arial"/>
                <w:sz w:val="24"/>
                <w:szCs w:val="24"/>
              </w:rPr>
            </w:pPr>
            <w:r w:rsidRPr="00490AC2">
              <w:rPr>
                <w:rFonts w:ascii="Arial" w:hAnsi="Arial" w:cs="Arial"/>
                <w:sz w:val="24"/>
                <w:szCs w:val="24"/>
              </w:rPr>
              <w:t>5. Ionising radiation:  Myths and misconceptions about radioactivity, models for the decay of a radioactive material; safe pr</w:t>
            </w:r>
            <w:r>
              <w:rPr>
                <w:rFonts w:ascii="Arial" w:hAnsi="Arial" w:cs="Arial"/>
                <w:sz w:val="24"/>
                <w:szCs w:val="24"/>
              </w:rPr>
              <w:t xml:space="preserve">actice and confidence building </w:t>
            </w:r>
            <w:r w:rsidRPr="00490AC2">
              <w:rPr>
                <w:rFonts w:ascii="Arial" w:hAnsi="Arial" w:cs="Arial"/>
                <w:sz w:val="24"/>
                <w:szCs w:val="24"/>
              </w:rPr>
              <w:t xml:space="preserve">in the use of radioactive sources </w:t>
            </w:r>
          </w:p>
          <w:p w14:paraId="7EB4805E" w14:textId="69016A47" w:rsidR="00490AC2" w:rsidRPr="00490AC2" w:rsidRDefault="00490AC2" w:rsidP="00490AC2">
            <w:pPr>
              <w:tabs>
                <w:tab w:val="left" w:pos="4489"/>
              </w:tabs>
              <w:rPr>
                <w:rFonts w:ascii="Arial" w:hAnsi="Arial" w:cs="Arial"/>
                <w:sz w:val="24"/>
                <w:szCs w:val="24"/>
              </w:rPr>
            </w:pPr>
            <w:r w:rsidRPr="00490AC2">
              <w:rPr>
                <w:rFonts w:ascii="Arial" w:hAnsi="Arial" w:cs="Arial"/>
                <w:sz w:val="24"/>
                <w:szCs w:val="24"/>
              </w:rPr>
              <w:t>6. Waves:  Alternative models for representing waves effec</w:t>
            </w:r>
            <w:r>
              <w:rPr>
                <w:rFonts w:ascii="Arial" w:hAnsi="Arial" w:cs="Arial"/>
                <w:sz w:val="24"/>
                <w:szCs w:val="24"/>
              </w:rPr>
              <w:t xml:space="preserve">ts and wave properties, active </w:t>
            </w:r>
            <w:r w:rsidRPr="00490AC2">
              <w:rPr>
                <w:rFonts w:ascii="Arial" w:hAnsi="Arial" w:cs="Arial"/>
                <w:sz w:val="24"/>
                <w:szCs w:val="24"/>
              </w:rPr>
              <w:t>learning approaches linked to</w:t>
            </w:r>
            <w:r>
              <w:rPr>
                <w:rFonts w:ascii="Arial" w:hAnsi="Arial" w:cs="Arial"/>
                <w:sz w:val="24"/>
                <w:szCs w:val="24"/>
              </w:rPr>
              <w:t xml:space="preserve"> the electromagnetic spectrum, </w:t>
            </w:r>
            <w:r w:rsidR="0080746E">
              <w:rPr>
                <w:rFonts w:ascii="Arial" w:hAnsi="Arial" w:cs="Arial"/>
                <w:sz w:val="24"/>
                <w:szCs w:val="24"/>
              </w:rPr>
              <w:t>practical activities</w:t>
            </w:r>
            <w:r w:rsidRPr="00490AC2">
              <w:rPr>
                <w:rFonts w:ascii="Arial" w:hAnsi="Arial" w:cs="Arial"/>
                <w:sz w:val="24"/>
                <w:szCs w:val="24"/>
              </w:rPr>
              <w:t xml:space="preserve"> to explore the properties of light;</w:t>
            </w:r>
          </w:p>
          <w:p w14:paraId="6DAD985F" w14:textId="0DF8F573" w:rsidR="00490AC2" w:rsidRPr="00490AC2" w:rsidRDefault="00490AC2" w:rsidP="00490AC2">
            <w:pPr>
              <w:tabs>
                <w:tab w:val="left" w:pos="4489"/>
              </w:tabs>
              <w:rPr>
                <w:rFonts w:ascii="Arial" w:hAnsi="Arial" w:cs="Arial"/>
                <w:sz w:val="24"/>
                <w:szCs w:val="24"/>
              </w:rPr>
            </w:pPr>
            <w:r w:rsidRPr="00490AC2">
              <w:rPr>
                <w:rFonts w:ascii="Arial" w:hAnsi="Arial" w:cs="Arial"/>
                <w:sz w:val="24"/>
                <w:szCs w:val="24"/>
              </w:rPr>
              <w:t>7. Space and Astronomy:  Student misconceptions about the structure of so</w:t>
            </w:r>
            <w:r>
              <w:rPr>
                <w:rFonts w:ascii="Arial" w:hAnsi="Arial" w:cs="Arial"/>
                <w:sz w:val="24"/>
                <w:szCs w:val="24"/>
              </w:rPr>
              <w:t xml:space="preserve">lar system and 'space objects' </w:t>
            </w:r>
            <w:r w:rsidRPr="00490AC2">
              <w:rPr>
                <w:rFonts w:ascii="Arial" w:hAnsi="Arial" w:cs="Arial"/>
                <w:sz w:val="24"/>
                <w:szCs w:val="24"/>
              </w:rPr>
              <w:t xml:space="preserve">birth life and death of stars, red shift and the </w:t>
            </w:r>
            <w:proofErr w:type="spellStart"/>
            <w:r w:rsidRPr="00490AC2">
              <w:rPr>
                <w:rFonts w:ascii="Arial" w:hAnsi="Arial" w:cs="Arial"/>
                <w:sz w:val="24"/>
                <w:szCs w:val="24"/>
              </w:rPr>
              <w:t>BIg</w:t>
            </w:r>
            <w:proofErr w:type="spellEnd"/>
            <w:r w:rsidRPr="00490AC2">
              <w:rPr>
                <w:rFonts w:ascii="Arial" w:hAnsi="Arial" w:cs="Arial"/>
                <w:sz w:val="24"/>
                <w:szCs w:val="24"/>
              </w:rPr>
              <w:t xml:space="preserve"> Bang.</w:t>
            </w:r>
          </w:p>
          <w:p w14:paraId="37BB6907" w14:textId="77777777" w:rsidR="00490AC2" w:rsidRPr="00490AC2" w:rsidRDefault="00490AC2" w:rsidP="00490AC2">
            <w:pPr>
              <w:tabs>
                <w:tab w:val="left" w:pos="4489"/>
              </w:tabs>
              <w:rPr>
                <w:rFonts w:ascii="Arial" w:hAnsi="Arial" w:cs="Arial"/>
                <w:sz w:val="24"/>
                <w:szCs w:val="24"/>
              </w:rPr>
            </w:pPr>
            <w:r w:rsidRPr="00490AC2">
              <w:rPr>
                <w:rFonts w:ascii="Arial" w:hAnsi="Arial" w:cs="Arial"/>
                <w:sz w:val="24"/>
                <w:szCs w:val="24"/>
              </w:rPr>
              <w:t>8. Electromagnetism, review and presentation:  Establishing the link between electricity and magnetism, describe the creation of an electro-motive force (</w:t>
            </w:r>
            <w:proofErr w:type="spellStart"/>
            <w:r w:rsidRPr="00490AC2">
              <w:rPr>
                <w:rFonts w:ascii="Arial" w:hAnsi="Arial" w:cs="Arial"/>
                <w:sz w:val="24"/>
                <w:szCs w:val="24"/>
              </w:rPr>
              <w:t>emf</w:t>
            </w:r>
            <w:proofErr w:type="spellEnd"/>
            <w:r w:rsidRPr="00490AC2">
              <w:rPr>
                <w:rFonts w:ascii="Arial" w:hAnsi="Arial" w:cs="Arial"/>
                <w:sz w:val="24"/>
                <w:szCs w:val="24"/>
              </w:rPr>
              <w:t>), practice a wide range of practical activities linked to electromagnetism, review and demonstrate learning journey throughout the programme.</w:t>
            </w:r>
          </w:p>
          <w:p w14:paraId="2DF2343B" w14:textId="77777777" w:rsidR="001B543F" w:rsidRDefault="001B543F" w:rsidP="00490AC2">
            <w:pPr>
              <w:rPr>
                <w:rFonts w:ascii="Arial" w:hAnsi="Arial" w:cs="Arial"/>
                <w:sz w:val="24"/>
                <w:szCs w:val="24"/>
              </w:rPr>
            </w:pPr>
          </w:p>
          <w:p w14:paraId="3FCA91D4" w14:textId="77777777" w:rsidR="00490AC2" w:rsidRDefault="00490AC2" w:rsidP="00490AC2">
            <w:pPr>
              <w:rPr>
                <w:rFonts w:ascii="Arial" w:hAnsi="Arial" w:cs="Arial"/>
                <w:sz w:val="24"/>
                <w:szCs w:val="24"/>
              </w:rPr>
            </w:pPr>
          </w:p>
          <w:p w14:paraId="126DF947" w14:textId="2B521CD0" w:rsidR="00490AC2" w:rsidRPr="00490AC2" w:rsidRDefault="00490AC2" w:rsidP="00490AC2">
            <w:pPr>
              <w:rPr>
                <w:rFonts w:ascii="Arial" w:hAnsi="Arial" w:cs="Arial"/>
                <w:sz w:val="24"/>
                <w:szCs w:val="24"/>
              </w:rPr>
            </w:pPr>
          </w:p>
        </w:tc>
        <w:tc>
          <w:tcPr>
            <w:tcW w:w="4395" w:type="dxa"/>
          </w:tcPr>
          <w:p w14:paraId="2000CDD8" w14:textId="76796491" w:rsidR="001B543F" w:rsidRPr="001B543F" w:rsidRDefault="001B543F" w:rsidP="001B543F">
            <w:pPr>
              <w:rPr>
                <w:rFonts w:ascii="Arial" w:hAnsi="Arial" w:cs="Arial"/>
                <w:sz w:val="24"/>
                <w:szCs w:val="24"/>
              </w:rPr>
            </w:pPr>
            <w:r w:rsidRPr="001B543F">
              <w:rPr>
                <w:rFonts w:ascii="Arial" w:hAnsi="Arial" w:cs="Arial"/>
                <w:sz w:val="24"/>
                <w:szCs w:val="24"/>
              </w:rPr>
              <w:lastRenderedPageBreak/>
              <w:t>Short description of the course (e.g. objectives and expected outcomes)</w:t>
            </w:r>
          </w:p>
        </w:tc>
      </w:tr>
    </w:tbl>
    <w:p w14:paraId="69116AB1" w14:textId="77777777" w:rsidR="001B543F" w:rsidRPr="00056C4F" w:rsidRDefault="001B543F" w:rsidP="00D33BE7">
      <w:pPr>
        <w:jc w:val="center"/>
        <w:rPr>
          <w:rFonts w:ascii="Arial" w:hAnsi="Arial" w:cs="Arial"/>
          <w:b/>
          <w:sz w:val="24"/>
          <w:szCs w:val="24"/>
        </w:rPr>
      </w:pPr>
    </w:p>
    <w:tbl>
      <w:tblPr>
        <w:tblW w:w="31321" w:type="dxa"/>
        <w:tblInd w:w="-709" w:type="dxa"/>
        <w:tblLook w:val="04A0" w:firstRow="1" w:lastRow="0" w:firstColumn="1" w:lastColumn="0" w:noHBand="0" w:noVBand="1"/>
      </w:tblPr>
      <w:tblGrid>
        <w:gridCol w:w="16820"/>
        <w:gridCol w:w="280"/>
        <w:gridCol w:w="5994"/>
        <w:gridCol w:w="1151"/>
        <w:gridCol w:w="1803"/>
        <w:gridCol w:w="1150"/>
        <w:gridCol w:w="2190"/>
        <w:gridCol w:w="326"/>
        <w:gridCol w:w="1607"/>
      </w:tblGrid>
      <w:tr w:rsidR="00D33BE7" w:rsidRPr="006F4A41" w14:paraId="3266C3CE" w14:textId="77777777" w:rsidTr="00BD3FBC">
        <w:trPr>
          <w:trHeight w:val="810"/>
        </w:trPr>
        <w:tc>
          <w:tcPr>
            <w:tcW w:w="16820" w:type="dxa"/>
            <w:tcBorders>
              <w:top w:val="nil"/>
              <w:left w:val="nil"/>
              <w:bottom w:val="nil"/>
              <w:right w:val="nil"/>
            </w:tcBorders>
            <w:shd w:val="clear" w:color="000000" w:fill="FFFFFF"/>
            <w:noWrap/>
            <w:vAlign w:val="bottom"/>
            <w:hideMark/>
          </w:tcPr>
          <w:tbl>
            <w:tblPr>
              <w:tblW w:w="15159" w:type="dxa"/>
              <w:tblLook w:val="04A0" w:firstRow="1" w:lastRow="0" w:firstColumn="1" w:lastColumn="0" w:noHBand="0" w:noVBand="1"/>
            </w:tblPr>
            <w:tblGrid>
              <w:gridCol w:w="4138"/>
              <w:gridCol w:w="1418"/>
              <w:gridCol w:w="1559"/>
              <w:gridCol w:w="1417"/>
              <w:gridCol w:w="1953"/>
              <w:gridCol w:w="1722"/>
              <w:gridCol w:w="2952"/>
            </w:tblGrid>
            <w:tr w:rsidR="006F4A41" w:rsidRPr="006F4A41" w14:paraId="7F578DCB" w14:textId="77777777" w:rsidTr="002F7A29">
              <w:trPr>
                <w:trHeight w:val="300"/>
              </w:trPr>
              <w:tc>
                <w:tcPr>
                  <w:tcW w:w="41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57399F" w14:textId="77777777" w:rsidR="006F4A41" w:rsidRPr="006F4A41" w:rsidRDefault="006F4A41"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color w:val="000000"/>
                      <w:lang w:eastAsia="en-GB"/>
                    </w:rPr>
                    <w:lastRenderedPageBreak/>
                    <w:t> </w:t>
                  </w:r>
                  <w:r w:rsidRPr="006F4A41">
                    <w:rPr>
                      <w:rFonts w:ascii="Arial" w:eastAsia="Times New Roman" w:hAnsi="Arial" w:cs="Arial"/>
                      <w:b/>
                      <w:bCs/>
                      <w:color w:val="000000"/>
                      <w:lang w:eastAsia="en-GB"/>
                    </w:rPr>
                    <w:t> </w:t>
                  </w:r>
                </w:p>
              </w:tc>
              <w:tc>
                <w:tcPr>
                  <w:tcW w:w="11021"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34A75C8" w14:textId="77777777" w:rsidR="006F4A41" w:rsidRPr="006F4A41" w:rsidRDefault="006F4A41"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Subject area (indicate number of hours)</w:t>
                  </w:r>
                </w:p>
              </w:tc>
            </w:tr>
            <w:tr w:rsidR="006F4A41" w:rsidRPr="006F4A41" w14:paraId="2292D359" w14:textId="77777777" w:rsidTr="002F7A29">
              <w:trPr>
                <w:trHeight w:val="600"/>
              </w:trPr>
              <w:tc>
                <w:tcPr>
                  <w:tcW w:w="4138" w:type="dxa"/>
                  <w:tcBorders>
                    <w:top w:val="single" w:sz="4" w:space="0" w:color="auto"/>
                    <w:left w:val="single" w:sz="4" w:space="0" w:color="808080"/>
                    <w:bottom w:val="nil"/>
                    <w:right w:val="single" w:sz="4" w:space="0" w:color="808080"/>
                  </w:tcBorders>
                  <w:shd w:val="clear" w:color="000000" w:fill="D9D9D9"/>
                  <w:hideMark/>
                </w:tcPr>
                <w:p w14:paraId="5CE7AC84" w14:textId="77777777" w:rsidR="006F4A41" w:rsidRPr="006F4A41" w:rsidRDefault="006F4A41" w:rsidP="00D33BE7">
                  <w:pPr>
                    <w:spacing w:after="0" w:line="240" w:lineRule="auto"/>
                    <w:rPr>
                      <w:rFonts w:ascii="Arial" w:eastAsia="Times New Roman" w:hAnsi="Arial" w:cs="Arial"/>
                      <w:b/>
                      <w:bCs/>
                      <w:color w:val="000000"/>
                      <w:lang w:eastAsia="en-GB"/>
                    </w:rPr>
                  </w:pPr>
                  <w:r w:rsidRPr="006F4A41">
                    <w:rPr>
                      <w:rFonts w:ascii="Arial" w:eastAsia="Times New Roman" w:hAnsi="Arial" w:cs="Arial"/>
                      <w:b/>
                      <w:bCs/>
                      <w:color w:val="000000"/>
                      <w:lang w:eastAsia="en-GB"/>
                    </w:rPr>
                    <w:t>Mode of delivery</w:t>
                  </w:r>
                </w:p>
              </w:tc>
              <w:tc>
                <w:tcPr>
                  <w:tcW w:w="1418"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3ED222E3"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Energy</w:t>
                  </w:r>
                </w:p>
              </w:tc>
              <w:tc>
                <w:tcPr>
                  <w:tcW w:w="1559"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1E913DA0"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Motion &amp; Forces</w:t>
                  </w:r>
                </w:p>
              </w:tc>
              <w:tc>
                <w:tcPr>
                  <w:tcW w:w="1417"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44F5F0D3"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Waves</w:t>
                  </w:r>
                </w:p>
              </w:tc>
              <w:tc>
                <w:tcPr>
                  <w:tcW w:w="1953"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2A24B65B"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Electricity &amp; electromagnetism</w:t>
                  </w:r>
                </w:p>
              </w:tc>
              <w:tc>
                <w:tcPr>
                  <w:tcW w:w="1722"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5D748385"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Matter &amp; Space</w:t>
                  </w:r>
                </w:p>
              </w:tc>
              <w:tc>
                <w:tcPr>
                  <w:tcW w:w="2952"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310DD8AE"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Other, if any, specified below:</w:t>
                  </w:r>
                </w:p>
                <w:p w14:paraId="7686EB92" w14:textId="179E3CCC" w:rsidR="006F4A41" w:rsidRPr="00490AC2" w:rsidRDefault="006F4A41" w:rsidP="00D33BE7">
                  <w:pPr>
                    <w:spacing w:after="0" w:line="240" w:lineRule="auto"/>
                    <w:jc w:val="center"/>
                    <w:rPr>
                      <w:rFonts w:ascii="Arial" w:eastAsia="Times New Roman" w:hAnsi="Arial" w:cs="Arial"/>
                      <w:bCs/>
                      <w:color w:val="000000"/>
                      <w:sz w:val="16"/>
                      <w:szCs w:val="16"/>
                      <w:lang w:eastAsia="en-GB"/>
                    </w:rPr>
                  </w:pPr>
                  <w:r w:rsidRPr="00490AC2">
                    <w:rPr>
                      <w:rFonts w:ascii="Arial" w:eastAsia="Times New Roman" w:hAnsi="Arial" w:cs="Arial"/>
                      <w:bCs/>
                      <w:color w:val="000000"/>
                      <w:sz w:val="16"/>
                      <w:szCs w:val="16"/>
                      <w:lang w:eastAsia="en-GB"/>
                    </w:rPr>
                    <w:t> </w:t>
                  </w:r>
                  <w:r w:rsidR="00490AC2" w:rsidRPr="00490AC2">
                    <w:rPr>
                      <w:rFonts w:ascii="Arial" w:eastAsia="Times New Roman" w:hAnsi="Arial" w:cs="Arial"/>
                      <w:bCs/>
                      <w:color w:val="000000"/>
                      <w:sz w:val="16"/>
                      <w:szCs w:val="16"/>
                      <w:lang w:eastAsia="en-GB"/>
                    </w:rPr>
                    <w:t>Exploration of why we teach physics and the pedagogy of teaching physics effectively</w:t>
                  </w:r>
                </w:p>
              </w:tc>
            </w:tr>
            <w:tr w:rsidR="00490AC2" w:rsidRPr="006F4A41" w14:paraId="57F25155" w14:textId="77777777" w:rsidTr="002F7A29">
              <w:trPr>
                <w:trHeight w:val="900"/>
              </w:trPr>
              <w:tc>
                <w:tcPr>
                  <w:tcW w:w="4138" w:type="dxa"/>
                  <w:tcBorders>
                    <w:top w:val="single" w:sz="4" w:space="0" w:color="808080"/>
                    <w:left w:val="single" w:sz="4" w:space="0" w:color="808080"/>
                    <w:bottom w:val="single" w:sz="4" w:space="0" w:color="808080"/>
                    <w:right w:val="single" w:sz="4" w:space="0" w:color="808080"/>
                  </w:tcBorders>
                  <w:shd w:val="clear" w:color="000000" w:fill="FFFFFF"/>
                  <w:noWrap/>
                  <w:hideMark/>
                </w:tcPr>
                <w:p w14:paraId="75C2B91F" w14:textId="2C4CA276" w:rsidR="00490AC2" w:rsidRPr="006F4A41" w:rsidRDefault="00490AC2" w:rsidP="006F4A41">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 xml:space="preserve">Face to Face </w:t>
                  </w:r>
                  <w:r w:rsidRPr="006F4A41">
                    <w:rPr>
                      <w:rFonts w:ascii="Arial" w:eastAsia="Times New Roman" w:hAnsi="Arial" w:cs="Arial"/>
                      <w:color w:val="000000"/>
                      <w:sz w:val="18"/>
                      <w:szCs w:val="18"/>
                      <w:lang w:eastAsia="en-GB"/>
                    </w:rPr>
                    <w:t>(Presentations, lectures, guided group tutorial work with tutor present)</w:t>
                  </w:r>
                </w:p>
              </w:tc>
              <w:tc>
                <w:tcPr>
                  <w:tcW w:w="1418" w:type="dxa"/>
                  <w:tcBorders>
                    <w:top w:val="nil"/>
                    <w:left w:val="nil"/>
                    <w:bottom w:val="single" w:sz="4" w:space="0" w:color="808080"/>
                    <w:right w:val="single" w:sz="4" w:space="0" w:color="808080"/>
                  </w:tcBorders>
                  <w:shd w:val="clear" w:color="000000" w:fill="FFFFFF"/>
                  <w:noWrap/>
                  <w:hideMark/>
                </w:tcPr>
                <w:p w14:paraId="4A44D884" w14:textId="5180EA95" w:rsidR="00490AC2" w:rsidRPr="006F4A41" w:rsidRDefault="00490AC2" w:rsidP="00D33BE7">
                  <w:pPr>
                    <w:spacing w:after="0" w:line="240" w:lineRule="auto"/>
                    <w:jc w:val="center"/>
                    <w:rPr>
                      <w:rFonts w:ascii="Arial" w:eastAsia="Times New Roman" w:hAnsi="Arial" w:cs="Arial"/>
                      <w:color w:val="000000"/>
                      <w:lang w:eastAsia="en-GB"/>
                    </w:rPr>
                  </w:pPr>
                  <w:r>
                    <w:rPr>
                      <w:rFonts w:ascii="Calibri" w:eastAsia="Times New Roman" w:hAnsi="Calibri"/>
                      <w:color w:val="000000"/>
                    </w:rPr>
                    <w:t>2</w:t>
                  </w:r>
                </w:p>
              </w:tc>
              <w:tc>
                <w:tcPr>
                  <w:tcW w:w="1559" w:type="dxa"/>
                  <w:tcBorders>
                    <w:top w:val="nil"/>
                    <w:left w:val="nil"/>
                    <w:bottom w:val="single" w:sz="4" w:space="0" w:color="808080"/>
                    <w:right w:val="single" w:sz="4" w:space="0" w:color="808080"/>
                  </w:tcBorders>
                  <w:shd w:val="clear" w:color="000000" w:fill="FFFFFF"/>
                  <w:noWrap/>
                  <w:hideMark/>
                </w:tcPr>
                <w:p w14:paraId="4E331C57" w14:textId="728F7885" w:rsidR="00490AC2" w:rsidRPr="006F4A41" w:rsidRDefault="00490AC2" w:rsidP="00D33BE7">
                  <w:pPr>
                    <w:spacing w:after="0" w:line="240" w:lineRule="auto"/>
                    <w:jc w:val="center"/>
                    <w:rPr>
                      <w:rFonts w:ascii="Arial" w:eastAsia="Times New Roman" w:hAnsi="Arial" w:cs="Arial"/>
                      <w:color w:val="000000"/>
                      <w:lang w:eastAsia="en-GB"/>
                    </w:rPr>
                  </w:pPr>
                  <w:r>
                    <w:rPr>
                      <w:rFonts w:ascii="Calibri" w:eastAsia="Times New Roman" w:hAnsi="Calibri"/>
                      <w:color w:val="000000"/>
                    </w:rPr>
                    <w:t>4</w:t>
                  </w:r>
                </w:p>
              </w:tc>
              <w:tc>
                <w:tcPr>
                  <w:tcW w:w="1417" w:type="dxa"/>
                  <w:tcBorders>
                    <w:top w:val="nil"/>
                    <w:left w:val="nil"/>
                    <w:bottom w:val="single" w:sz="4" w:space="0" w:color="808080"/>
                    <w:right w:val="single" w:sz="4" w:space="0" w:color="808080"/>
                  </w:tcBorders>
                  <w:shd w:val="clear" w:color="000000" w:fill="FFFFFF"/>
                  <w:noWrap/>
                  <w:hideMark/>
                </w:tcPr>
                <w:p w14:paraId="19D30E06" w14:textId="3CD9CE65" w:rsidR="00490AC2" w:rsidRPr="006F4A41" w:rsidRDefault="00490AC2" w:rsidP="00D33BE7">
                  <w:pPr>
                    <w:spacing w:after="0" w:line="240" w:lineRule="auto"/>
                    <w:jc w:val="center"/>
                    <w:rPr>
                      <w:rFonts w:ascii="Arial" w:eastAsia="Times New Roman" w:hAnsi="Arial" w:cs="Arial"/>
                      <w:color w:val="000000"/>
                      <w:lang w:eastAsia="en-GB"/>
                    </w:rPr>
                  </w:pPr>
                  <w:r>
                    <w:rPr>
                      <w:rFonts w:ascii="Calibri" w:eastAsia="Times New Roman" w:hAnsi="Calibri"/>
                      <w:color w:val="000000"/>
                    </w:rPr>
                    <w:t>2</w:t>
                  </w:r>
                </w:p>
              </w:tc>
              <w:tc>
                <w:tcPr>
                  <w:tcW w:w="1953" w:type="dxa"/>
                  <w:tcBorders>
                    <w:top w:val="nil"/>
                    <w:left w:val="nil"/>
                    <w:bottom w:val="single" w:sz="4" w:space="0" w:color="808080"/>
                    <w:right w:val="single" w:sz="4" w:space="0" w:color="808080"/>
                  </w:tcBorders>
                  <w:shd w:val="clear" w:color="000000" w:fill="FFFFFF"/>
                  <w:noWrap/>
                  <w:hideMark/>
                </w:tcPr>
                <w:p w14:paraId="50CDBC8B" w14:textId="61F1DB65" w:rsidR="00490AC2" w:rsidRPr="006F4A41" w:rsidRDefault="00490AC2" w:rsidP="00D33BE7">
                  <w:pPr>
                    <w:spacing w:after="0" w:line="240" w:lineRule="auto"/>
                    <w:jc w:val="center"/>
                    <w:rPr>
                      <w:rFonts w:ascii="Arial" w:eastAsia="Times New Roman" w:hAnsi="Arial" w:cs="Arial"/>
                      <w:color w:val="000000"/>
                      <w:lang w:eastAsia="en-GB"/>
                    </w:rPr>
                  </w:pPr>
                  <w:r>
                    <w:rPr>
                      <w:rFonts w:ascii="Calibri" w:eastAsia="Times New Roman" w:hAnsi="Calibri"/>
                      <w:color w:val="000000"/>
                    </w:rPr>
                    <w:t>3</w:t>
                  </w:r>
                </w:p>
              </w:tc>
              <w:tc>
                <w:tcPr>
                  <w:tcW w:w="1722" w:type="dxa"/>
                  <w:tcBorders>
                    <w:top w:val="nil"/>
                    <w:left w:val="nil"/>
                    <w:bottom w:val="single" w:sz="4" w:space="0" w:color="808080"/>
                    <w:right w:val="single" w:sz="4" w:space="0" w:color="808080"/>
                  </w:tcBorders>
                  <w:shd w:val="clear" w:color="000000" w:fill="FFFFFF"/>
                  <w:noWrap/>
                  <w:hideMark/>
                </w:tcPr>
                <w:p w14:paraId="7FC6FB75" w14:textId="79AEAAE4" w:rsidR="00490AC2" w:rsidRPr="006F4A41" w:rsidRDefault="00490AC2" w:rsidP="00D33BE7">
                  <w:pPr>
                    <w:spacing w:after="0" w:line="240" w:lineRule="auto"/>
                    <w:jc w:val="center"/>
                    <w:rPr>
                      <w:rFonts w:ascii="Arial" w:eastAsia="Times New Roman" w:hAnsi="Arial" w:cs="Arial"/>
                      <w:color w:val="000000"/>
                      <w:lang w:eastAsia="en-GB"/>
                    </w:rPr>
                  </w:pPr>
                  <w:r>
                    <w:rPr>
                      <w:rFonts w:ascii="Calibri" w:eastAsia="Times New Roman" w:hAnsi="Calibri"/>
                      <w:color w:val="000000"/>
                    </w:rPr>
                    <w:t>4</w:t>
                  </w:r>
                </w:p>
              </w:tc>
              <w:tc>
                <w:tcPr>
                  <w:tcW w:w="2952" w:type="dxa"/>
                  <w:tcBorders>
                    <w:top w:val="nil"/>
                    <w:left w:val="nil"/>
                    <w:bottom w:val="single" w:sz="4" w:space="0" w:color="808080"/>
                    <w:right w:val="single" w:sz="4" w:space="0" w:color="808080"/>
                  </w:tcBorders>
                  <w:shd w:val="clear" w:color="000000" w:fill="FFFFFF"/>
                  <w:noWrap/>
                  <w:hideMark/>
                </w:tcPr>
                <w:p w14:paraId="7A2ACCD4" w14:textId="3F4957E0" w:rsidR="00490AC2" w:rsidRPr="006F4A41" w:rsidRDefault="00490AC2" w:rsidP="00D33BE7">
                  <w:pPr>
                    <w:spacing w:after="0" w:line="240" w:lineRule="auto"/>
                    <w:jc w:val="center"/>
                    <w:rPr>
                      <w:rFonts w:ascii="Arial" w:eastAsia="Times New Roman" w:hAnsi="Arial" w:cs="Arial"/>
                      <w:color w:val="000000"/>
                      <w:lang w:eastAsia="en-GB"/>
                    </w:rPr>
                  </w:pPr>
                  <w:r>
                    <w:rPr>
                      <w:rFonts w:ascii="Calibri" w:eastAsia="Times New Roman" w:hAnsi="Calibri"/>
                      <w:color w:val="000000"/>
                    </w:rPr>
                    <w:t>4</w:t>
                  </w:r>
                </w:p>
              </w:tc>
            </w:tr>
            <w:tr w:rsidR="00490AC2" w:rsidRPr="006F4A41" w14:paraId="356F6992" w14:textId="77777777" w:rsidTr="002F7A29">
              <w:trPr>
                <w:trHeight w:val="1129"/>
              </w:trPr>
              <w:tc>
                <w:tcPr>
                  <w:tcW w:w="4138" w:type="dxa"/>
                  <w:tcBorders>
                    <w:top w:val="nil"/>
                    <w:left w:val="single" w:sz="4" w:space="0" w:color="808080"/>
                    <w:bottom w:val="single" w:sz="4" w:space="0" w:color="808080"/>
                    <w:right w:val="single" w:sz="4" w:space="0" w:color="808080"/>
                  </w:tcBorders>
                  <w:shd w:val="clear" w:color="000000" w:fill="FFFFFF"/>
                  <w:noWrap/>
                  <w:hideMark/>
                </w:tcPr>
                <w:p w14:paraId="06271A6D" w14:textId="388F6F8F" w:rsidR="00490AC2" w:rsidRPr="006F4A41" w:rsidRDefault="00490AC2" w:rsidP="006F4A41">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Practical (</w:t>
                  </w:r>
                  <w:r w:rsidRPr="006F4A41">
                    <w:rPr>
                      <w:rFonts w:ascii="Arial" w:eastAsia="Times New Roman" w:hAnsi="Arial" w:cs="Arial"/>
                      <w:color w:val="000000"/>
                      <w:sz w:val="18"/>
                      <w:szCs w:val="18"/>
                      <w:lang w:eastAsia="en-GB"/>
                    </w:rPr>
                    <w:t>Hands on use of apparatus working individually or small groups. Observation of demonstrations is not deemed to be practical work)</w:t>
                  </w:r>
                </w:p>
              </w:tc>
              <w:tc>
                <w:tcPr>
                  <w:tcW w:w="1418" w:type="dxa"/>
                  <w:tcBorders>
                    <w:top w:val="nil"/>
                    <w:left w:val="nil"/>
                    <w:bottom w:val="single" w:sz="4" w:space="0" w:color="808080"/>
                    <w:right w:val="single" w:sz="4" w:space="0" w:color="808080"/>
                  </w:tcBorders>
                  <w:shd w:val="clear" w:color="000000" w:fill="FFFFFF"/>
                  <w:noWrap/>
                  <w:hideMark/>
                </w:tcPr>
                <w:p w14:paraId="252D7455" w14:textId="4BFF22B2" w:rsidR="00490AC2" w:rsidRPr="006F4A41" w:rsidRDefault="00490AC2" w:rsidP="00D33BE7">
                  <w:pPr>
                    <w:spacing w:after="0" w:line="240" w:lineRule="auto"/>
                    <w:jc w:val="center"/>
                    <w:rPr>
                      <w:rFonts w:ascii="Arial" w:eastAsia="Times New Roman" w:hAnsi="Arial" w:cs="Arial"/>
                      <w:color w:val="000000"/>
                      <w:lang w:eastAsia="en-GB"/>
                    </w:rPr>
                  </w:pPr>
                  <w:r>
                    <w:rPr>
                      <w:rFonts w:ascii="Calibri" w:eastAsia="Times New Roman" w:hAnsi="Calibri"/>
                      <w:color w:val="000000"/>
                    </w:rPr>
                    <w:t>2</w:t>
                  </w:r>
                </w:p>
              </w:tc>
              <w:tc>
                <w:tcPr>
                  <w:tcW w:w="1559" w:type="dxa"/>
                  <w:tcBorders>
                    <w:top w:val="nil"/>
                    <w:left w:val="nil"/>
                    <w:bottom w:val="single" w:sz="4" w:space="0" w:color="808080"/>
                    <w:right w:val="single" w:sz="4" w:space="0" w:color="808080"/>
                  </w:tcBorders>
                  <w:shd w:val="clear" w:color="000000" w:fill="FFFFFF"/>
                  <w:noWrap/>
                  <w:hideMark/>
                </w:tcPr>
                <w:p w14:paraId="5BD4A536" w14:textId="3AC03290" w:rsidR="00490AC2" w:rsidRPr="006F4A41" w:rsidRDefault="00490AC2" w:rsidP="00D33BE7">
                  <w:pPr>
                    <w:spacing w:after="0" w:line="240" w:lineRule="auto"/>
                    <w:jc w:val="center"/>
                    <w:rPr>
                      <w:rFonts w:ascii="Arial" w:eastAsia="Times New Roman" w:hAnsi="Arial" w:cs="Arial"/>
                      <w:color w:val="000000"/>
                      <w:lang w:eastAsia="en-GB"/>
                    </w:rPr>
                  </w:pPr>
                  <w:r>
                    <w:rPr>
                      <w:rFonts w:ascii="Calibri" w:eastAsia="Times New Roman" w:hAnsi="Calibri"/>
                      <w:color w:val="000000"/>
                    </w:rPr>
                    <w:t>3</w:t>
                  </w:r>
                </w:p>
              </w:tc>
              <w:tc>
                <w:tcPr>
                  <w:tcW w:w="1417" w:type="dxa"/>
                  <w:tcBorders>
                    <w:top w:val="nil"/>
                    <w:left w:val="nil"/>
                    <w:bottom w:val="single" w:sz="4" w:space="0" w:color="808080"/>
                    <w:right w:val="single" w:sz="4" w:space="0" w:color="808080"/>
                  </w:tcBorders>
                  <w:shd w:val="clear" w:color="000000" w:fill="FFFFFF"/>
                  <w:noWrap/>
                  <w:hideMark/>
                </w:tcPr>
                <w:p w14:paraId="07D2FBA3" w14:textId="669A4343" w:rsidR="00490AC2" w:rsidRPr="006F4A41" w:rsidRDefault="00490AC2" w:rsidP="00D33BE7">
                  <w:pPr>
                    <w:spacing w:after="0" w:line="240" w:lineRule="auto"/>
                    <w:jc w:val="center"/>
                    <w:rPr>
                      <w:rFonts w:ascii="Arial" w:eastAsia="Times New Roman" w:hAnsi="Arial" w:cs="Arial"/>
                      <w:color w:val="000000"/>
                      <w:lang w:eastAsia="en-GB"/>
                    </w:rPr>
                  </w:pPr>
                  <w:r>
                    <w:rPr>
                      <w:rFonts w:ascii="Calibri" w:eastAsia="Times New Roman" w:hAnsi="Calibri"/>
                      <w:color w:val="000000"/>
                    </w:rPr>
                    <w:t>2</w:t>
                  </w:r>
                </w:p>
              </w:tc>
              <w:tc>
                <w:tcPr>
                  <w:tcW w:w="1953" w:type="dxa"/>
                  <w:tcBorders>
                    <w:top w:val="nil"/>
                    <w:left w:val="nil"/>
                    <w:bottom w:val="single" w:sz="4" w:space="0" w:color="808080"/>
                    <w:right w:val="single" w:sz="4" w:space="0" w:color="808080"/>
                  </w:tcBorders>
                  <w:shd w:val="clear" w:color="000000" w:fill="FFFFFF"/>
                  <w:noWrap/>
                  <w:hideMark/>
                </w:tcPr>
                <w:p w14:paraId="440C48B9" w14:textId="48CF1A00" w:rsidR="00490AC2" w:rsidRPr="006F4A41" w:rsidRDefault="00490AC2" w:rsidP="00D33BE7">
                  <w:pPr>
                    <w:spacing w:after="0" w:line="240" w:lineRule="auto"/>
                    <w:jc w:val="center"/>
                    <w:rPr>
                      <w:rFonts w:ascii="Arial" w:eastAsia="Times New Roman" w:hAnsi="Arial" w:cs="Arial"/>
                      <w:color w:val="000000"/>
                      <w:lang w:eastAsia="en-GB"/>
                    </w:rPr>
                  </w:pPr>
                  <w:r>
                    <w:rPr>
                      <w:rFonts w:ascii="Calibri" w:eastAsia="Times New Roman" w:hAnsi="Calibri"/>
                      <w:color w:val="000000"/>
                    </w:rPr>
                    <w:t>3</w:t>
                  </w:r>
                </w:p>
              </w:tc>
              <w:tc>
                <w:tcPr>
                  <w:tcW w:w="1722" w:type="dxa"/>
                  <w:tcBorders>
                    <w:top w:val="nil"/>
                    <w:left w:val="nil"/>
                    <w:bottom w:val="single" w:sz="4" w:space="0" w:color="808080"/>
                    <w:right w:val="single" w:sz="4" w:space="0" w:color="808080"/>
                  </w:tcBorders>
                  <w:shd w:val="clear" w:color="000000" w:fill="FFFFFF"/>
                  <w:noWrap/>
                  <w:hideMark/>
                </w:tcPr>
                <w:p w14:paraId="264EB700" w14:textId="50EEE557" w:rsidR="00490AC2" w:rsidRPr="006F4A41" w:rsidRDefault="00490AC2" w:rsidP="00D33BE7">
                  <w:pPr>
                    <w:spacing w:after="0" w:line="240" w:lineRule="auto"/>
                    <w:jc w:val="center"/>
                    <w:rPr>
                      <w:rFonts w:ascii="Arial" w:eastAsia="Times New Roman" w:hAnsi="Arial" w:cs="Arial"/>
                      <w:color w:val="000000"/>
                      <w:lang w:eastAsia="en-GB"/>
                    </w:rPr>
                  </w:pPr>
                  <w:r>
                    <w:rPr>
                      <w:rFonts w:ascii="Calibri" w:eastAsia="Times New Roman" w:hAnsi="Calibri"/>
                      <w:color w:val="000000"/>
                    </w:rPr>
                    <w:t>2</w:t>
                  </w:r>
                </w:p>
              </w:tc>
              <w:tc>
                <w:tcPr>
                  <w:tcW w:w="2952" w:type="dxa"/>
                  <w:tcBorders>
                    <w:top w:val="nil"/>
                    <w:left w:val="nil"/>
                    <w:bottom w:val="single" w:sz="4" w:space="0" w:color="808080"/>
                    <w:right w:val="single" w:sz="4" w:space="0" w:color="808080"/>
                  </w:tcBorders>
                  <w:shd w:val="clear" w:color="000000" w:fill="FFFFFF"/>
                  <w:noWrap/>
                  <w:hideMark/>
                </w:tcPr>
                <w:p w14:paraId="10D6EF34" w14:textId="1D707FFC" w:rsidR="00490AC2" w:rsidRPr="006F4A41" w:rsidRDefault="00490AC2" w:rsidP="00D33BE7">
                  <w:pPr>
                    <w:spacing w:after="0" w:line="240" w:lineRule="auto"/>
                    <w:jc w:val="center"/>
                    <w:rPr>
                      <w:rFonts w:ascii="Arial" w:eastAsia="Times New Roman" w:hAnsi="Arial" w:cs="Arial"/>
                      <w:color w:val="000000"/>
                      <w:lang w:eastAsia="en-GB"/>
                    </w:rPr>
                  </w:pPr>
                  <w:r>
                    <w:rPr>
                      <w:rFonts w:ascii="Calibri" w:eastAsia="Times New Roman" w:hAnsi="Calibri"/>
                      <w:color w:val="000000"/>
                    </w:rPr>
                    <w:t>0</w:t>
                  </w:r>
                </w:p>
              </w:tc>
            </w:tr>
            <w:tr w:rsidR="00490AC2" w:rsidRPr="006F4A41" w14:paraId="37B2128A" w14:textId="77777777" w:rsidTr="002F7A29">
              <w:trPr>
                <w:trHeight w:val="960"/>
              </w:trPr>
              <w:tc>
                <w:tcPr>
                  <w:tcW w:w="4138" w:type="dxa"/>
                  <w:tcBorders>
                    <w:top w:val="nil"/>
                    <w:left w:val="single" w:sz="4" w:space="0" w:color="808080"/>
                    <w:bottom w:val="single" w:sz="4" w:space="0" w:color="808080"/>
                    <w:right w:val="single" w:sz="4" w:space="0" w:color="808080"/>
                  </w:tcBorders>
                  <w:shd w:val="clear" w:color="000000" w:fill="FFFFFF"/>
                  <w:noWrap/>
                  <w:hideMark/>
                </w:tcPr>
                <w:p w14:paraId="0E31D22B" w14:textId="78EE154E" w:rsidR="00490AC2" w:rsidRPr="006F4A41" w:rsidRDefault="00490AC2" w:rsidP="006F4A41">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Coaching/ Mentoring (</w:t>
                  </w:r>
                  <w:r w:rsidRPr="006F4A41">
                    <w:rPr>
                      <w:rFonts w:ascii="Arial" w:eastAsia="Times New Roman" w:hAnsi="Arial" w:cs="Arial"/>
                      <w:color w:val="000000"/>
                      <w:sz w:val="18"/>
                      <w:szCs w:val="18"/>
                      <w:lang w:eastAsia="en-GB"/>
                    </w:rPr>
                    <w:t>One to one or small group sessions involving coaching, mentoring or allied techniques led by an experienced practitioner.)</w:t>
                  </w:r>
                </w:p>
              </w:tc>
              <w:tc>
                <w:tcPr>
                  <w:tcW w:w="1418" w:type="dxa"/>
                  <w:tcBorders>
                    <w:top w:val="nil"/>
                    <w:left w:val="nil"/>
                    <w:bottom w:val="single" w:sz="4" w:space="0" w:color="808080"/>
                    <w:right w:val="single" w:sz="4" w:space="0" w:color="808080"/>
                  </w:tcBorders>
                  <w:shd w:val="clear" w:color="000000" w:fill="FFFFFF"/>
                  <w:noWrap/>
                  <w:hideMark/>
                </w:tcPr>
                <w:p w14:paraId="28588414" w14:textId="140A865C" w:rsidR="00490AC2" w:rsidRPr="006F4A41" w:rsidRDefault="00490AC2" w:rsidP="00D33BE7">
                  <w:pPr>
                    <w:spacing w:after="0" w:line="240" w:lineRule="auto"/>
                    <w:jc w:val="center"/>
                    <w:rPr>
                      <w:rFonts w:ascii="Arial" w:eastAsia="Times New Roman" w:hAnsi="Arial" w:cs="Arial"/>
                      <w:color w:val="000000"/>
                      <w:lang w:eastAsia="en-GB"/>
                    </w:rPr>
                  </w:pPr>
                  <w:r>
                    <w:rPr>
                      <w:rFonts w:ascii="Calibri" w:eastAsia="Times New Roman" w:hAnsi="Calibri"/>
                      <w:color w:val="000000"/>
                    </w:rPr>
                    <w:t>0</w:t>
                  </w:r>
                </w:p>
              </w:tc>
              <w:tc>
                <w:tcPr>
                  <w:tcW w:w="1559" w:type="dxa"/>
                  <w:tcBorders>
                    <w:top w:val="nil"/>
                    <w:left w:val="nil"/>
                    <w:bottom w:val="single" w:sz="4" w:space="0" w:color="808080"/>
                    <w:right w:val="single" w:sz="4" w:space="0" w:color="808080"/>
                  </w:tcBorders>
                  <w:shd w:val="clear" w:color="000000" w:fill="FFFFFF"/>
                  <w:noWrap/>
                  <w:hideMark/>
                </w:tcPr>
                <w:p w14:paraId="66CFBF8A" w14:textId="60306B27" w:rsidR="00490AC2" w:rsidRPr="006F4A41" w:rsidRDefault="00490AC2" w:rsidP="00D33BE7">
                  <w:pPr>
                    <w:spacing w:after="0" w:line="240" w:lineRule="auto"/>
                    <w:jc w:val="center"/>
                    <w:rPr>
                      <w:rFonts w:ascii="Arial" w:eastAsia="Times New Roman" w:hAnsi="Arial" w:cs="Arial"/>
                      <w:color w:val="000000"/>
                      <w:lang w:eastAsia="en-GB"/>
                    </w:rPr>
                  </w:pPr>
                  <w:r>
                    <w:rPr>
                      <w:rFonts w:ascii="Calibri" w:eastAsia="Times New Roman" w:hAnsi="Calibri"/>
                      <w:color w:val="000000"/>
                    </w:rPr>
                    <w:t>0</w:t>
                  </w:r>
                </w:p>
              </w:tc>
              <w:tc>
                <w:tcPr>
                  <w:tcW w:w="1417" w:type="dxa"/>
                  <w:tcBorders>
                    <w:top w:val="nil"/>
                    <w:left w:val="nil"/>
                    <w:bottom w:val="single" w:sz="4" w:space="0" w:color="808080"/>
                    <w:right w:val="single" w:sz="4" w:space="0" w:color="808080"/>
                  </w:tcBorders>
                  <w:shd w:val="clear" w:color="000000" w:fill="FFFFFF"/>
                  <w:noWrap/>
                  <w:hideMark/>
                </w:tcPr>
                <w:p w14:paraId="4AF40DE3" w14:textId="534C341E" w:rsidR="00490AC2" w:rsidRPr="006F4A41" w:rsidRDefault="00490AC2" w:rsidP="00D33BE7">
                  <w:pPr>
                    <w:spacing w:after="0" w:line="240" w:lineRule="auto"/>
                    <w:jc w:val="center"/>
                    <w:rPr>
                      <w:rFonts w:ascii="Arial" w:eastAsia="Times New Roman" w:hAnsi="Arial" w:cs="Arial"/>
                      <w:color w:val="000000"/>
                      <w:lang w:eastAsia="en-GB"/>
                    </w:rPr>
                  </w:pPr>
                  <w:r>
                    <w:rPr>
                      <w:rFonts w:ascii="Calibri" w:eastAsia="Times New Roman" w:hAnsi="Calibri"/>
                      <w:color w:val="000000"/>
                    </w:rPr>
                    <w:t>0</w:t>
                  </w:r>
                </w:p>
              </w:tc>
              <w:tc>
                <w:tcPr>
                  <w:tcW w:w="1953" w:type="dxa"/>
                  <w:tcBorders>
                    <w:top w:val="nil"/>
                    <w:left w:val="nil"/>
                    <w:bottom w:val="single" w:sz="4" w:space="0" w:color="808080"/>
                    <w:right w:val="single" w:sz="4" w:space="0" w:color="808080"/>
                  </w:tcBorders>
                  <w:shd w:val="clear" w:color="000000" w:fill="FFFFFF"/>
                  <w:noWrap/>
                  <w:hideMark/>
                </w:tcPr>
                <w:p w14:paraId="0FC5A7DE" w14:textId="7C7F0522" w:rsidR="00490AC2" w:rsidRPr="006F4A41" w:rsidRDefault="00490AC2" w:rsidP="00D33BE7">
                  <w:pPr>
                    <w:spacing w:after="0" w:line="240" w:lineRule="auto"/>
                    <w:jc w:val="center"/>
                    <w:rPr>
                      <w:rFonts w:ascii="Arial" w:eastAsia="Times New Roman" w:hAnsi="Arial" w:cs="Arial"/>
                      <w:color w:val="000000"/>
                      <w:lang w:eastAsia="en-GB"/>
                    </w:rPr>
                  </w:pPr>
                  <w:r>
                    <w:rPr>
                      <w:rFonts w:ascii="Calibri" w:eastAsia="Times New Roman" w:hAnsi="Calibri"/>
                      <w:color w:val="000000"/>
                    </w:rPr>
                    <w:t>0</w:t>
                  </w:r>
                </w:p>
              </w:tc>
              <w:tc>
                <w:tcPr>
                  <w:tcW w:w="1722" w:type="dxa"/>
                  <w:tcBorders>
                    <w:top w:val="nil"/>
                    <w:left w:val="nil"/>
                    <w:bottom w:val="single" w:sz="4" w:space="0" w:color="808080"/>
                    <w:right w:val="single" w:sz="4" w:space="0" w:color="808080"/>
                  </w:tcBorders>
                  <w:shd w:val="clear" w:color="000000" w:fill="FFFFFF"/>
                  <w:noWrap/>
                  <w:hideMark/>
                </w:tcPr>
                <w:p w14:paraId="2CC5A06E" w14:textId="6251B717" w:rsidR="00490AC2" w:rsidRPr="006F4A41" w:rsidRDefault="00490AC2" w:rsidP="00D33BE7">
                  <w:pPr>
                    <w:spacing w:after="0" w:line="240" w:lineRule="auto"/>
                    <w:jc w:val="center"/>
                    <w:rPr>
                      <w:rFonts w:ascii="Arial" w:eastAsia="Times New Roman" w:hAnsi="Arial" w:cs="Arial"/>
                      <w:color w:val="000000"/>
                      <w:lang w:eastAsia="en-GB"/>
                    </w:rPr>
                  </w:pPr>
                  <w:r>
                    <w:rPr>
                      <w:rFonts w:ascii="Calibri" w:eastAsia="Times New Roman" w:hAnsi="Calibri"/>
                      <w:color w:val="000000"/>
                    </w:rPr>
                    <w:t>0</w:t>
                  </w:r>
                </w:p>
              </w:tc>
              <w:tc>
                <w:tcPr>
                  <w:tcW w:w="2952" w:type="dxa"/>
                  <w:tcBorders>
                    <w:top w:val="nil"/>
                    <w:left w:val="nil"/>
                    <w:bottom w:val="single" w:sz="4" w:space="0" w:color="808080"/>
                    <w:right w:val="single" w:sz="4" w:space="0" w:color="808080"/>
                  </w:tcBorders>
                  <w:shd w:val="clear" w:color="000000" w:fill="FFFFFF"/>
                  <w:noWrap/>
                  <w:hideMark/>
                </w:tcPr>
                <w:p w14:paraId="39695CF0" w14:textId="65B0AF06" w:rsidR="00490AC2" w:rsidRPr="006F4A41" w:rsidRDefault="00490AC2" w:rsidP="00D33BE7">
                  <w:pPr>
                    <w:spacing w:after="0" w:line="240" w:lineRule="auto"/>
                    <w:jc w:val="center"/>
                    <w:rPr>
                      <w:rFonts w:ascii="Arial" w:eastAsia="Times New Roman" w:hAnsi="Arial" w:cs="Arial"/>
                      <w:color w:val="000000"/>
                      <w:lang w:eastAsia="en-GB"/>
                    </w:rPr>
                  </w:pPr>
                  <w:r>
                    <w:rPr>
                      <w:rFonts w:ascii="Calibri" w:eastAsia="Times New Roman" w:hAnsi="Calibri"/>
                      <w:color w:val="000000"/>
                    </w:rPr>
                    <w:t>0</w:t>
                  </w:r>
                </w:p>
              </w:tc>
            </w:tr>
            <w:tr w:rsidR="00490AC2" w:rsidRPr="006F4A41" w14:paraId="4F3E801A" w14:textId="77777777" w:rsidTr="00490AC2">
              <w:trPr>
                <w:trHeight w:val="926"/>
              </w:trPr>
              <w:tc>
                <w:tcPr>
                  <w:tcW w:w="4138" w:type="dxa"/>
                  <w:tcBorders>
                    <w:top w:val="nil"/>
                    <w:left w:val="single" w:sz="4" w:space="0" w:color="808080"/>
                    <w:bottom w:val="single" w:sz="4" w:space="0" w:color="808080"/>
                    <w:right w:val="single" w:sz="4" w:space="0" w:color="808080"/>
                  </w:tcBorders>
                  <w:shd w:val="clear" w:color="000000" w:fill="FFFFFF"/>
                  <w:noWrap/>
                  <w:hideMark/>
                </w:tcPr>
                <w:p w14:paraId="457E10FF" w14:textId="7DEDB0A7" w:rsidR="00490AC2" w:rsidRPr="006F4A41" w:rsidRDefault="00490AC2" w:rsidP="00D33BE7">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Monitored independent learning (</w:t>
                  </w:r>
                  <w:r w:rsidRPr="006F4A41">
                    <w:rPr>
                      <w:rFonts w:ascii="Arial" w:eastAsia="Times New Roman" w:hAnsi="Arial" w:cs="Arial"/>
                      <w:color w:val="000000"/>
                      <w:sz w:val="18"/>
                      <w:szCs w:val="18"/>
                      <w:lang w:eastAsia="en-GB"/>
                    </w:rPr>
                    <w:t>e.g. online tutorial work)</w:t>
                  </w:r>
                </w:p>
              </w:tc>
              <w:tc>
                <w:tcPr>
                  <w:tcW w:w="1418" w:type="dxa"/>
                  <w:tcBorders>
                    <w:top w:val="nil"/>
                    <w:left w:val="nil"/>
                    <w:bottom w:val="single" w:sz="4" w:space="0" w:color="808080"/>
                    <w:right w:val="single" w:sz="4" w:space="0" w:color="808080"/>
                  </w:tcBorders>
                  <w:shd w:val="clear" w:color="000000" w:fill="FFFFFF"/>
                  <w:noWrap/>
                  <w:hideMark/>
                </w:tcPr>
                <w:p w14:paraId="105EF0D0" w14:textId="6B6EB09E" w:rsidR="00490AC2" w:rsidRPr="006F4A41" w:rsidRDefault="00490AC2" w:rsidP="00D33BE7">
                  <w:pPr>
                    <w:spacing w:after="0" w:line="240" w:lineRule="auto"/>
                    <w:jc w:val="center"/>
                    <w:rPr>
                      <w:rFonts w:ascii="Arial" w:eastAsia="Times New Roman" w:hAnsi="Arial" w:cs="Arial"/>
                      <w:color w:val="000000"/>
                      <w:lang w:eastAsia="en-GB"/>
                    </w:rPr>
                  </w:pPr>
                  <w:r>
                    <w:rPr>
                      <w:rFonts w:ascii="Calibri" w:eastAsia="Times New Roman" w:hAnsi="Calibri"/>
                      <w:color w:val="000000"/>
                    </w:rPr>
                    <w:t>1</w:t>
                  </w:r>
                </w:p>
              </w:tc>
              <w:tc>
                <w:tcPr>
                  <w:tcW w:w="1559" w:type="dxa"/>
                  <w:tcBorders>
                    <w:top w:val="nil"/>
                    <w:left w:val="nil"/>
                    <w:bottom w:val="single" w:sz="4" w:space="0" w:color="808080"/>
                    <w:right w:val="single" w:sz="4" w:space="0" w:color="808080"/>
                  </w:tcBorders>
                  <w:shd w:val="clear" w:color="000000" w:fill="FFFFFF"/>
                  <w:noWrap/>
                  <w:hideMark/>
                </w:tcPr>
                <w:p w14:paraId="25491DCD" w14:textId="4822CF8A" w:rsidR="00490AC2" w:rsidRPr="006F4A41" w:rsidRDefault="00490AC2" w:rsidP="00D33BE7">
                  <w:pPr>
                    <w:spacing w:after="0" w:line="240" w:lineRule="auto"/>
                    <w:jc w:val="center"/>
                    <w:rPr>
                      <w:rFonts w:ascii="Arial" w:eastAsia="Times New Roman" w:hAnsi="Arial" w:cs="Arial"/>
                      <w:color w:val="000000"/>
                      <w:lang w:eastAsia="en-GB"/>
                    </w:rPr>
                  </w:pPr>
                  <w:r>
                    <w:rPr>
                      <w:rFonts w:ascii="Calibri" w:eastAsia="Times New Roman" w:hAnsi="Calibri"/>
                      <w:color w:val="000000"/>
                    </w:rPr>
                    <w:t>2</w:t>
                  </w:r>
                </w:p>
              </w:tc>
              <w:tc>
                <w:tcPr>
                  <w:tcW w:w="1417" w:type="dxa"/>
                  <w:tcBorders>
                    <w:top w:val="nil"/>
                    <w:left w:val="nil"/>
                    <w:bottom w:val="single" w:sz="4" w:space="0" w:color="808080"/>
                    <w:right w:val="single" w:sz="4" w:space="0" w:color="808080"/>
                  </w:tcBorders>
                  <w:shd w:val="clear" w:color="000000" w:fill="FFFFFF"/>
                  <w:noWrap/>
                  <w:hideMark/>
                </w:tcPr>
                <w:p w14:paraId="01090AD5" w14:textId="3A2F75FF" w:rsidR="00490AC2" w:rsidRPr="006F4A41" w:rsidRDefault="00490AC2" w:rsidP="00D33BE7">
                  <w:pPr>
                    <w:spacing w:after="0" w:line="240" w:lineRule="auto"/>
                    <w:jc w:val="center"/>
                    <w:rPr>
                      <w:rFonts w:ascii="Arial" w:eastAsia="Times New Roman" w:hAnsi="Arial" w:cs="Arial"/>
                      <w:color w:val="000000"/>
                      <w:lang w:eastAsia="en-GB"/>
                    </w:rPr>
                  </w:pPr>
                  <w:r>
                    <w:rPr>
                      <w:rFonts w:ascii="Calibri" w:eastAsia="Times New Roman" w:hAnsi="Calibri"/>
                      <w:color w:val="000000"/>
                    </w:rPr>
                    <w:t>1</w:t>
                  </w:r>
                </w:p>
              </w:tc>
              <w:tc>
                <w:tcPr>
                  <w:tcW w:w="1953" w:type="dxa"/>
                  <w:tcBorders>
                    <w:top w:val="nil"/>
                    <w:left w:val="nil"/>
                    <w:bottom w:val="single" w:sz="4" w:space="0" w:color="808080"/>
                    <w:right w:val="single" w:sz="4" w:space="0" w:color="808080"/>
                  </w:tcBorders>
                  <w:shd w:val="clear" w:color="000000" w:fill="FFFFFF"/>
                  <w:noWrap/>
                  <w:hideMark/>
                </w:tcPr>
                <w:p w14:paraId="52F13A2F" w14:textId="14764995" w:rsidR="00490AC2" w:rsidRPr="006F4A41" w:rsidRDefault="00490AC2" w:rsidP="00D33BE7">
                  <w:pPr>
                    <w:spacing w:after="0" w:line="240" w:lineRule="auto"/>
                    <w:jc w:val="center"/>
                    <w:rPr>
                      <w:rFonts w:ascii="Arial" w:eastAsia="Times New Roman" w:hAnsi="Arial" w:cs="Arial"/>
                      <w:color w:val="000000"/>
                      <w:lang w:eastAsia="en-GB"/>
                    </w:rPr>
                  </w:pPr>
                  <w:r>
                    <w:rPr>
                      <w:rFonts w:ascii="Calibri" w:eastAsia="Times New Roman" w:hAnsi="Calibri"/>
                      <w:color w:val="000000"/>
                    </w:rPr>
                    <w:t>2</w:t>
                  </w:r>
                </w:p>
              </w:tc>
              <w:tc>
                <w:tcPr>
                  <w:tcW w:w="1722" w:type="dxa"/>
                  <w:tcBorders>
                    <w:top w:val="nil"/>
                    <w:left w:val="nil"/>
                    <w:bottom w:val="single" w:sz="4" w:space="0" w:color="808080"/>
                    <w:right w:val="single" w:sz="4" w:space="0" w:color="808080"/>
                  </w:tcBorders>
                  <w:shd w:val="clear" w:color="000000" w:fill="FFFFFF"/>
                  <w:noWrap/>
                  <w:hideMark/>
                </w:tcPr>
                <w:p w14:paraId="0B520EBF" w14:textId="06751EEE" w:rsidR="00490AC2" w:rsidRPr="006F4A41" w:rsidRDefault="00490AC2" w:rsidP="00D33BE7">
                  <w:pPr>
                    <w:spacing w:after="0" w:line="240" w:lineRule="auto"/>
                    <w:jc w:val="center"/>
                    <w:rPr>
                      <w:rFonts w:ascii="Arial" w:eastAsia="Times New Roman" w:hAnsi="Arial" w:cs="Arial"/>
                      <w:color w:val="000000"/>
                      <w:lang w:eastAsia="en-GB"/>
                    </w:rPr>
                  </w:pPr>
                  <w:r>
                    <w:rPr>
                      <w:rFonts w:ascii="Calibri" w:eastAsia="Times New Roman" w:hAnsi="Calibri"/>
                      <w:color w:val="000000"/>
                    </w:rPr>
                    <w:t>2</w:t>
                  </w:r>
                </w:p>
              </w:tc>
              <w:tc>
                <w:tcPr>
                  <w:tcW w:w="2952" w:type="dxa"/>
                  <w:tcBorders>
                    <w:top w:val="nil"/>
                    <w:left w:val="nil"/>
                    <w:bottom w:val="single" w:sz="4" w:space="0" w:color="808080"/>
                    <w:right w:val="single" w:sz="4" w:space="0" w:color="808080"/>
                  </w:tcBorders>
                  <w:shd w:val="clear" w:color="000000" w:fill="FFFFFF"/>
                  <w:noWrap/>
                  <w:hideMark/>
                </w:tcPr>
                <w:p w14:paraId="043F820C" w14:textId="55222559" w:rsidR="00490AC2" w:rsidRPr="006F4A41" w:rsidRDefault="00490AC2" w:rsidP="00D33BE7">
                  <w:pPr>
                    <w:spacing w:after="0" w:line="240" w:lineRule="auto"/>
                    <w:jc w:val="center"/>
                    <w:rPr>
                      <w:rFonts w:ascii="Arial" w:eastAsia="Times New Roman" w:hAnsi="Arial" w:cs="Arial"/>
                      <w:color w:val="000000"/>
                      <w:lang w:eastAsia="en-GB"/>
                    </w:rPr>
                  </w:pPr>
                  <w:r>
                    <w:rPr>
                      <w:rFonts w:ascii="Calibri" w:eastAsia="Times New Roman" w:hAnsi="Calibri"/>
                      <w:color w:val="000000"/>
                    </w:rPr>
                    <w:t>2</w:t>
                  </w:r>
                </w:p>
              </w:tc>
            </w:tr>
            <w:tr w:rsidR="00490AC2" w:rsidRPr="006F4A41" w14:paraId="2896B3C9" w14:textId="77777777" w:rsidTr="00490AC2">
              <w:trPr>
                <w:trHeight w:val="647"/>
              </w:trPr>
              <w:tc>
                <w:tcPr>
                  <w:tcW w:w="4138" w:type="dxa"/>
                  <w:tcBorders>
                    <w:top w:val="nil"/>
                    <w:left w:val="single" w:sz="4" w:space="0" w:color="808080"/>
                    <w:bottom w:val="single" w:sz="4" w:space="0" w:color="808080"/>
                    <w:right w:val="single" w:sz="4" w:space="0" w:color="808080"/>
                  </w:tcBorders>
                  <w:shd w:val="clear" w:color="000000" w:fill="FFFFFF"/>
                  <w:noWrap/>
                </w:tcPr>
                <w:p w14:paraId="2344E838" w14:textId="77777777" w:rsidR="00490AC2" w:rsidRDefault="00490AC2" w:rsidP="00D33BE7">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Other modes (please specify below)</w:t>
                  </w:r>
                </w:p>
                <w:p w14:paraId="60CE5A5B" w14:textId="258D68E3" w:rsidR="00490AC2" w:rsidRPr="00490AC2" w:rsidRDefault="00490AC2" w:rsidP="00D33BE7">
                  <w:pPr>
                    <w:spacing w:after="0" w:line="240" w:lineRule="auto"/>
                    <w:rPr>
                      <w:rFonts w:ascii="Arial" w:eastAsia="Times New Roman" w:hAnsi="Arial" w:cs="Arial"/>
                      <w:b/>
                      <w:color w:val="000000"/>
                      <w:sz w:val="16"/>
                      <w:szCs w:val="16"/>
                      <w:lang w:eastAsia="en-GB"/>
                    </w:rPr>
                  </w:pPr>
                  <w:r w:rsidRPr="00490AC2">
                    <w:rPr>
                      <w:rFonts w:ascii="Arial" w:eastAsia="Times New Roman" w:hAnsi="Arial" w:cs="Arial"/>
                      <w:color w:val="000000"/>
                      <w:sz w:val="16"/>
                      <w:szCs w:val="16"/>
                      <w:lang w:eastAsia="en-GB"/>
                    </w:rPr>
                    <w:t>Peer coaching, the use of an in-school buddy or another participant from the course.</w:t>
                  </w:r>
                </w:p>
              </w:tc>
              <w:tc>
                <w:tcPr>
                  <w:tcW w:w="1418" w:type="dxa"/>
                  <w:tcBorders>
                    <w:top w:val="nil"/>
                    <w:left w:val="nil"/>
                    <w:bottom w:val="single" w:sz="4" w:space="0" w:color="808080"/>
                    <w:right w:val="single" w:sz="4" w:space="0" w:color="808080"/>
                  </w:tcBorders>
                  <w:shd w:val="clear" w:color="000000" w:fill="FFFFFF"/>
                  <w:noWrap/>
                </w:tcPr>
                <w:p w14:paraId="676D369D" w14:textId="04D89934" w:rsidR="00490AC2" w:rsidRDefault="00490AC2" w:rsidP="00D33BE7">
                  <w:pPr>
                    <w:spacing w:after="0" w:line="240" w:lineRule="auto"/>
                    <w:jc w:val="center"/>
                    <w:rPr>
                      <w:rFonts w:ascii="Calibri" w:eastAsia="Times New Roman" w:hAnsi="Calibri"/>
                      <w:color w:val="000000"/>
                    </w:rPr>
                  </w:pPr>
                  <w:r>
                    <w:rPr>
                      <w:rFonts w:ascii="Calibri" w:eastAsia="Times New Roman" w:hAnsi="Calibri"/>
                      <w:color w:val="000000"/>
                    </w:rPr>
                    <w:t>2</w:t>
                  </w:r>
                </w:p>
              </w:tc>
              <w:tc>
                <w:tcPr>
                  <w:tcW w:w="1559" w:type="dxa"/>
                  <w:tcBorders>
                    <w:top w:val="nil"/>
                    <w:left w:val="nil"/>
                    <w:bottom w:val="single" w:sz="4" w:space="0" w:color="808080"/>
                    <w:right w:val="single" w:sz="4" w:space="0" w:color="808080"/>
                  </w:tcBorders>
                  <w:shd w:val="clear" w:color="000000" w:fill="FFFFFF"/>
                  <w:noWrap/>
                </w:tcPr>
                <w:p w14:paraId="63D511E7" w14:textId="5BF4FB6C" w:rsidR="00490AC2" w:rsidRDefault="00490AC2" w:rsidP="00D33BE7">
                  <w:pPr>
                    <w:spacing w:after="0" w:line="240" w:lineRule="auto"/>
                    <w:jc w:val="center"/>
                    <w:rPr>
                      <w:rFonts w:ascii="Calibri" w:eastAsia="Times New Roman" w:hAnsi="Calibri"/>
                      <w:color w:val="000000"/>
                    </w:rPr>
                  </w:pPr>
                  <w:r>
                    <w:rPr>
                      <w:rFonts w:ascii="Calibri" w:eastAsia="Times New Roman" w:hAnsi="Calibri"/>
                      <w:color w:val="000000"/>
                    </w:rPr>
                    <w:t>2</w:t>
                  </w:r>
                </w:p>
              </w:tc>
              <w:tc>
                <w:tcPr>
                  <w:tcW w:w="1417" w:type="dxa"/>
                  <w:tcBorders>
                    <w:top w:val="nil"/>
                    <w:left w:val="nil"/>
                    <w:bottom w:val="single" w:sz="4" w:space="0" w:color="808080"/>
                    <w:right w:val="single" w:sz="4" w:space="0" w:color="808080"/>
                  </w:tcBorders>
                  <w:shd w:val="clear" w:color="000000" w:fill="FFFFFF"/>
                  <w:noWrap/>
                </w:tcPr>
                <w:p w14:paraId="001CC834" w14:textId="18E20ADB" w:rsidR="00490AC2" w:rsidRDefault="00490AC2" w:rsidP="00D33BE7">
                  <w:pPr>
                    <w:spacing w:after="0" w:line="240" w:lineRule="auto"/>
                    <w:jc w:val="center"/>
                    <w:rPr>
                      <w:rFonts w:ascii="Calibri" w:eastAsia="Times New Roman" w:hAnsi="Calibri"/>
                      <w:color w:val="000000"/>
                    </w:rPr>
                  </w:pPr>
                  <w:r>
                    <w:rPr>
                      <w:rFonts w:ascii="Calibri" w:eastAsia="Times New Roman" w:hAnsi="Calibri"/>
                      <w:color w:val="000000"/>
                    </w:rPr>
                    <w:t>2</w:t>
                  </w:r>
                </w:p>
              </w:tc>
              <w:tc>
                <w:tcPr>
                  <w:tcW w:w="1953" w:type="dxa"/>
                  <w:tcBorders>
                    <w:top w:val="nil"/>
                    <w:left w:val="nil"/>
                    <w:bottom w:val="single" w:sz="4" w:space="0" w:color="808080"/>
                    <w:right w:val="single" w:sz="4" w:space="0" w:color="808080"/>
                  </w:tcBorders>
                  <w:shd w:val="clear" w:color="000000" w:fill="FFFFFF"/>
                  <w:noWrap/>
                </w:tcPr>
                <w:p w14:paraId="6B391AFA" w14:textId="1C681EFF" w:rsidR="00490AC2" w:rsidRDefault="00490AC2" w:rsidP="00D33BE7">
                  <w:pPr>
                    <w:spacing w:after="0" w:line="240" w:lineRule="auto"/>
                    <w:jc w:val="center"/>
                    <w:rPr>
                      <w:rFonts w:ascii="Calibri" w:eastAsia="Times New Roman" w:hAnsi="Calibri"/>
                      <w:color w:val="000000"/>
                    </w:rPr>
                  </w:pPr>
                  <w:r>
                    <w:rPr>
                      <w:rFonts w:ascii="Calibri" w:eastAsia="Times New Roman" w:hAnsi="Calibri"/>
                      <w:color w:val="000000"/>
                    </w:rPr>
                    <w:t>2</w:t>
                  </w:r>
                </w:p>
              </w:tc>
              <w:tc>
                <w:tcPr>
                  <w:tcW w:w="1722" w:type="dxa"/>
                  <w:tcBorders>
                    <w:top w:val="nil"/>
                    <w:left w:val="nil"/>
                    <w:bottom w:val="single" w:sz="4" w:space="0" w:color="808080"/>
                    <w:right w:val="single" w:sz="4" w:space="0" w:color="808080"/>
                  </w:tcBorders>
                  <w:shd w:val="clear" w:color="000000" w:fill="FFFFFF"/>
                  <w:noWrap/>
                </w:tcPr>
                <w:p w14:paraId="08CCC97C" w14:textId="1C1D1896" w:rsidR="00490AC2" w:rsidRDefault="00490AC2" w:rsidP="00D33BE7">
                  <w:pPr>
                    <w:spacing w:after="0" w:line="240" w:lineRule="auto"/>
                    <w:jc w:val="center"/>
                    <w:rPr>
                      <w:rFonts w:ascii="Calibri" w:eastAsia="Times New Roman" w:hAnsi="Calibri"/>
                      <w:color w:val="000000"/>
                    </w:rPr>
                  </w:pPr>
                  <w:r>
                    <w:rPr>
                      <w:rFonts w:ascii="Calibri" w:eastAsia="Times New Roman" w:hAnsi="Calibri"/>
                      <w:color w:val="000000"/>
                    </w:rPr>
                    <w:t>2</w:t>
                  </w:r>
                </w:p>
              </w:tc>
              <w:tc>
                <w:tcPr>
                  <w:tcW w:w="2952" w:type="dxa"/>
                  <w:tcBorders>
                    <w:top w:val="nil"/>
                    <w:left w:val="nil"/>
                    <w:bottom w:val="single" w:sz="4" w:space="0" w:color="808080"/>
                    <w:right w:val="single" w:sz="4" w:space="0" w:color="808080"/>
                  </w:tcBorders>
                  <w:shd w:val="clear" w:color="000000" w:fill="FFFFFF"/>
                  <w:noWrap/>
                </w:tcPr>
                <w:p w14:paraId="335A41AF" w14:textId="66029B64" w:rsidR="00490AC2" w:rsidRPr="006F4A41" w:rsidRDefault="00490AC2" w:rsidP="00D33BE7">
                  <w:pPr>
                    <w:spacing w:after="0" w:line="240" w:lineRule="auto"/>
                    <w:jc w:val="center"/>
                    <w:rPr>
                      <w:rFonts w:ascii="Arial" w:eastAsia="Times New Roman" w:hAnsi="Arial" w:cs="Arial"/>
                      <w:color w:val="000000"/>
                      <w:lang w:eastAsia="en-GB"/>
                    </w:rPr>
                  </w:pPr>
                  <w:r>
                    <w:rPr>
                      <w:rFonts w:ascii="Calibri" w:eastAsia="Times New Roman" w:hAnsi="Calibri"/>
                      <w:color w:val="000000"/>
                    </w:rPr>
                    <w:t>0</w:t>
                  </w:r>
                </w:p>
              </w:tc>
            </w:tr>
            <w:tr w:rsidR="00490AC2" w:rsidRPr="006F4A41" w14:paraId="3666172D" w14:textId="77777777" w:rsidTr="002F7A29">
              <w:trPr>
                <w:trHeight w:val="472"/>
              </w:trPr>
              <w:tc>
                <w:tcPr>
                  <w:tcW w:w="4138" w:type="dxa"/>
                  <w:tcBorders>
                    <w:top w:val="nil"/>
                    <w:left w:val="single" w:sz="4" w:space="0" w:color="808080"/>
                    <w:bottom w:val="single" w:sz="4" w:space="0" w:color="808080"/>
                    <w:right w:val="single" w:sz="4" w:space="0" w:color="808080"/>
                  </w:tcBorders>
                  <w:shd w:val="clear" w:color="000000" w:fill="FFFFFF"/>
                  <w:noWrap/>
                  <w:hideMark/>
                </w:tcPr>
                <w:p w14:paraId="3ED551C3" w14:textId="77777777" w:rsidR="00490AC2" w:rsidRDefault="00490AC2" w:rsidP="00D33BE7">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Other modes (please specify below)</w:t>
                  </w:r>
                </w:p>
                <w:p w14:paraId="7AC977D8" w14:textId="14839355" w:rsidR="00490AC2" w:rsidRPr="00490AC2" w:rsidRDefault="00490AC2" w:rsidP="00D33BE7">
                  <w:pPr>
                    <w:spacing w:after="0" w:line="240" w:lineRule="auto"/>
                    <w:rPr>
                      <w:rFonts w:ascii="Arial" w:eastAsia="Times New Roman" w:hAnsi="Arial" w:cs="Arial"/>
                      <w:color w:val="000000"/>
                      <w:sz w:val="16"/>
                      <w:szCs w:val="16"/>
                      <w:lang w:eastAsia="en-GB"/>
                    </w:rPr>
                  </w:pPr>
                  <w:r w:rsidRPr="00490AC2">
                    <w:rPr>
                      <w:rFonts w:ascii="Arial" w:eastAsia="Times New Roman" w:hAnsi="Arial" w:cs="Arial"/>
                      <w:color w:val="000000"/>
                      <w:sz w:val="16"/>
                      <w:szCs w:val="16"/>
                      <w:lang w:eastAsia="en-GB"/>
                    </w:rPr>
                    <w:t>Unmonitored independent learning – access to materials to support the sessions from the course</w:t>
                  </w:r>
                </w:p>
                <w:p w14:paraId="2BC53758" w14:textId="18AE88F9" w:rsidR="00490AC2" w:rsidRPr="006F4A41" w:rsidRDefault="00490AC2" w:rsidP="00D33BE7">
                  <w:pPr>
                    <w:spacing w:after="0" w:line="240" w:lineRule="auto"/>
                    <w:rPr>
                      <w:rFonts w:ascii="Arial" w:eastAsia="Times New Roman" w:hAnsi="Arial" w:cs="Arial"/>
                      <w:color w:val="000000"/>
                      <w:lang w:eastAsia="en-GB"/>
                    </w:rPr>
                  </w:pPr>
                </w:p>
              </w:tc>
              <w:tc>
                <w:tcPr>
                  <w:tcW w:w="1418" w:type="dxa"/>
                  <w:tcBorders>
                    <w:top w:val="nil"/>
                    <w:left w:val="nil"/>
                    <w:bottom w:val="single" w:sz="4" w:space="0" w:color="808080"/>
                    <w:right w:val="single" w:sz="4" w:space="0" w:color="808080"/>
                  </w:tcBorders>
                  <w:shd w:val="clear" w:color="000000" w:fill="FFFFFF"/>
                  <w:noWrap/>
                  <w:hideMark/>
                </w:tcPr>
                <w:p w14:paraId="47E8F2E6" w14:textId="175D00D3" w:rsidR="00490AC2" w:rsidRPr="006F4A41" w:rsidRDefault="00490AC2" w:rsidP="00D33BE7">
                  <w:pPr>
                    <w:spacing w:after="0" w:line="240" w:lineRule="auto"/>
                    <w:jc w:val="center"/>
                    <w:rPr>
                      <w:rFonts w:ascii="Arial" w:eastAsia="Times New Roman" w:hAnsi="Arial" w:cs="Arial"/>
                      <w:color w:val="000000"/>
                      <w:lang w:eastAsia="en-GB"/>
                    </w:rPr>
                  </w:pPr>
                  <w:r>
                    <w:rPr>
                      <w:rFonts w:ascii="Calibri" w:eastAsia="Times New Roman" w:hAnsi="Calibri"/>
                      <w:color w:val="000000"/>
                    </w:rPr>
                    <w:t>2</w:t>
                  </w:r>
                </w:p>
              </w:tc>
              <w:tc>
                <w:tcPr>
                  <w:tcW w:w="1559" w:type="dxa"/>
                  <w:tcBorders>
                    <w:top w:val="nil"/>
                    <w:left w:val="nil"/>
                    <w:bottom w:val="single" w:sz="4" w:space="0" w:color="808080"/>
                    <w:right w:val="single" w:sz="4" w:space="0" w:color="808080"/>
                  </w:tcBorders>
                  <w:shd w:val="clear" w:color="000000" w:fill="FFFFFF"/>
                  <w:noWrap/>
                  <w:hideMark/>
                </w:tcPr>
                <w:p w14:paraId="4EBB49C8" w14:textId="108D3FF4" w:rsidR="00490AC2" w:rsidRPr="006F4A41" w:rsidRDefault="00490AC2" w:rsidP="00D33BE7">
                  <w:pPr>
                    <w:spacing w:after="0" w:line="240" w:lineRule="auto"/>
                    <w:jc w:val="center"/>
                    <w:rPr>
                      <w:rFonts w:ascii="Arial" w:eastAsia="Times New Roman" w:hAnsi="Arial" w:cs="Arial"/>
                      <w:color w:val="000000"/>
                      <w:lang w:eastAsia="en-GB"/>
                    </w:rPr>
                  </w:pPr>
                  <w:r>
                    <w:rPr>
                      <w:rFonts w:ascii="Calibri" w:eastAsia="Times New Roman" w:hAnsi="Calibri"/>
                      <w:color w:val="000000"/>
                    </w:rPr>
                    <w:t>2</w:t>
                  </w:r>
                </w:p>
              </w:tc>
              <w:tc>
                <w:tcPr>
                  <w:tcW w:w="1417" w:type="dxa"/>
                  <w:tcBorders>
                    <w:top w:val="nil"/>
                    <w:left w:val="nil"/>
                    <w:bottom w:val="single" w:sz="4" w:space="0" w:color="808080"/>
                    <w:right w:val="single" w:sz="4" w:space="0" w:color="808080"/>
                  </w:tcBorders>
                  <w:shd w:val="clear" w:color="000000" w:fill="FFFFFF"/>
                  <w:noWrap/>
                  <w:hideMark/>
                </w:tcPr>
                <w:p w14:paraId="020A4A89" w14:textId="16EDD3BE" w:rsidR="00490AC2" w:rsidRPr="006F4A41" w:rsidRDefault="00490AC2" w:rsidP="00D33BE7">
                  <w:pPr>
                    <w:spacing w:after="0" w:line="240" w:lineRule="auto"/>
                    <w:jc w:val="center"/>
                    <w:rPr>
                      <w:rFonts w:ascii="Arial" w:eastAsia="Times New Roman" w:hAnsi="Arial" w:cs="Arial"/>
                      <w:color w:val="000000"/>
                      <w:lang w:eastAsia="en-GB"/>
                    </w:rPr>
                  </w:pPr>
                  <w:r>
                    <w:rPr>
                      <w:rFonts w:ascii="Calibri" w:eastAsia="Times New Roman" w:hAnsi="Calibri"/>
                      <w:color w:val="000000"/>
                    </w:rPr>
                    <w:t>2</w:t>
                  </w:r>
                </w:p>
              </w:tc>
              <w:tc>
                <w:tcPr>
                  <w:tcW w:w="1953" w:type="dxa"/>
                  <w:tcBorders>
                    <w:top w:val="nil"/>
                    <w:left w:val="nil"/>
                    <w:bottom w:val="single" w:sz="4" w:space="0" w:color="808080"/>
                    <w:right w:val="single" w:sz="4" w:space="0" w:color="808080"/>
                  </w:tcBorders>
                  <w:shd w:val="clear" w:color="000000" w:fill="FFFFFF"/>
                  <w:noWrap/>
                  <w:hideMark/>
                </w:tcPr>
                <w:p w14:paraId="5FDA2B2E" w14:textId="178EEDA4" w:rsidR="00490AC2" w:rsidRPr="006F4A41" w:rsidRDefault="00490AC2" w:rsidP="00D33BE7">
                  <w:pPr>
                    <w:spacing w:after="0" w:line="240" w:lineRule="auto"/>
                    <w:jc w:val="center"/>
                    <w:rPr>
                      <w:rFonts w:ascii="Arial" w:eastAsia="Times New Roman" w:hAnsi="Arial" w:cs="Arial"/>
                      <w:color w:val="000000"/>
                      <w:lang w:eastAsia="en-GB"/>
                    </w:rPr>
                  </w:pPr>
                  <w:r>
                    <w:rPr>
                      <w:rFonts w:ascii="Calibri" w:eastAsia="Times New Roman" w:hAnsi="Calibri"/>
                      <w:color w:val="000000"/>
                    </w:rPr>
                    <w:t>2</w:t>
                  </w:r>
                </w:p>
              </w:tc>
              <w:tc>
                <w:tcPr>
                  <w:tcW w:w="1722" w:type="dxa"/>
                  <w:tcBorders>
                    <w:top w:val="nil"/>
                    <w:left w:val="nil"/>
                    <w:bottom w:val="single" w:sz="4" w:space="0" w:color="808080"/>
                    <w:right w:val="single" w:sz="4" w:space="0" w:color="808080"/>
                  </w:tcBorders>
                  <w:shd w:val="clear" w:color="000000" w:fill="FFFFFF"/>
                  <w:noWrap/>
                  <w:hideMark/>
                </w:tcPr>
                <w:p w14:paraId="4FB77381" w14:textId="5965B2F6" w:rsidR="00490AC2" w:rsidRPr="006F4A41" w:rsidRDefault="00490AC2" w:rsidP="00D33BE7">
                  <w:pPr>
                    <w:spacing w:after="0" w:line="240" w:lineRule="auto"/>
                    <w:jc w:val="center"/>
                    <w:rPr>
                      <w:rFonts w:ascii="Arial" w:eastAsia="Times New Roman" w:hAnsi="Arial" w:cs="Arial"/>
                      <w:color w:val="000000"/>
                      <w:lang w:eastAsia="en-GB"/>
                    </w:rPr>
                  </w:pPr>
                  <w:r>
                    <w:rPr>
                      <w:rFonts w:ascii="Calibri" w:eastAsia="Times New Roman" w:hAnsi="Calibri"/>
                      <w:color w:val="000000"/>
                    </w:rPr>
                    <w:t>2</w:t>
                  </w:r>
                </w:p>
              </w:tc>
              <w:tc>
                <w:tcPr>
                  <w:tcW w:w="2952" w:type="dxa"/>
                  <w:tcBorders>
                    <w:top w:val="nil"/>
                    <w:left w:val="nil"/>
                    <w:bottom w:val="single" w:sz="4" w:space="0" w:color="808080"/>
                    <w:right w:val="single" w:sz="4" w:space="0" w:color="808080"/>
                  </w:tcBorders>
                  <w:shd w:val="clear" w:color="000000" w:fill="FFFFFF"/>
                  <w:noWrap/>
                  <w:hideMark/>
                </w:tcPr>
                <w:p w14:paraId="1997B5A1" w14:textId="0D102ADD" w:rsidR="00490AC2" w:rsidRPr="006F4A41" w:rsidRDefault="00490AC2"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Pr>
                      <w:rFonts w:ascii="Arial" w:eastAsia="Times New Roman" w:hAnsi="Arial" w:cs="Arial"/>
                      <w:color w:val="000000"/>
                      <w:lang w:eastAsia="en-GB"/>
                    </w:rPr>
                    <w:t>2</w:t>
                  </w:r>
                </w:p>
                <w:p w14:paraId="141AC3D8" w14:textId="50D5151C" w:rsidR="00490AC2" w:rsidRPr="006F4A41" w:rsidRDefault="00490AC2"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r w:rsidR="00490AC2" w:rsidRPr="006F4A41" w14:paraId="44E6A69E" w14:textId="77777777" w:rsidTr="002F7A29">
              <w:trPr>
                <w:trHeight w:val="552"/>
              </w:trPr>
              <w:tc>
                <w:tcPr>
                  <w:tcW w:w="4138" w:type="dxa"/>
                  <w:tcBorders>
                    <w:top w:val="nil"/>
                    <w:left w:val="single" w:sz="4" w:space="0" w:color="808080"/>
                    <w:bottom w:val="single" w:sz="4" w:space="0" w:color="808080"/>
                    <w:right w:val="single" w:sz="4" w:space="0" w:color="808080"/>
                  </w:tcBorders>
                  <w:shd w:val="clear" w:color="000000" w:fill="FFFFFF"/>
                  <w:noWrap/>
                  <w:vAlign w:val="bottom"/>
                  <w:hideMark/>
                </w:tcPr>
                <w:p w14:paraId="60488CC9" w14:textId="438A960E" w:rsidR="00490AC2" w:rsidRPr="006F4A41" w:rsidRDefault="00490AC2" w:rsidP="00D33BE7">
                  <w:pPr>
                    <w:spacing w:after="0" w:line="240" w:lineRule="auto"/>
                    <w:jc w:val="right"/>
                    <w:rPr>
                      <w:rFonts w:ascii="Arial" w:eastAsia="Times New Roman" w:hAnsi="Arial" w:cs="Arial"/>
                      <w:b/>
                      <w:bCs/>
                      <w:color w:val="000000"/>
                      <w:lang w:eastAsia="en-GB"/>
                    </w:rPr>
                  </w:pPr>
                  <w:r w:rsidRPr="006F4A41">
                    <w:rPr>
                      <w:rFonts w:ascii="Arial" w:eastAsia="Times New Roman" w:hAnsi="Arial" w:cs="Arial"/>
                      <w:b/>
                      <w:bCs/>
                      <w:color w:val="000000"/>
                      <w:lang w:eastAsia="en-GB"/>
                    </w:rPr>
                    <w:t>Total hours</w:t>
                  </w:r>
                  <w:r>
                    <w:rPr>
                      <w:rFonts w:ascii="Arial" w:eastAsia="Times New Roman" w:hAnsi="Arial" w:cs="Arial"/>
                      <w:b/>
                      <w:bCs/>
                      <w:color w:val="000000"/>
                      <w:lang w:eastAsia="en-GB"/>
                    </w:rPr>
                    <w:t xml:space="preserve"> = </w:t>
                  </w:r>
                  <w:r w:rsidRPr="00490AC2">
                    <w:rPr>
                      <w:rFonts w:ascii="Arial" w:eastAsia="Times New Roman" w:hAnsi="Arial" w:cs="Arial"/>
                      <w:b/>
                      <w:bCs/>
                      <w:color w:val="000000"/>
                      <w:sz w:val="40"/>
                      <w:szCs w:val="40"/>
                      <w:lang w:eastAsia="en-GB"/>
                    </w:rPr>
                    <w:t>63</w:t>
                  </w:r>
                </w:p>
              </w:tc>
              <w:tc>
                <w:tcPr>
                  <w:tcW w:w="1418" w:type="dxa"/>
                  <w:tcBorders>
                    <w:top w:val="nil"/>
                    <w:left w:val="nil"/>
                    <w:bottom w:val="single" w:sz="4" w:space="0" w:color="808080"/>
                    <w:right w:val="single" w:sz="4" w:space="0" w:color="808080"/>
                  </w:tcBorders>
                  <w:shd w:val="clear" w:color="000000" w:fill="FFFFFF"/>
                  <w:noWrap/>
                  <w:vAlign w:val="bottom"/>
                  <w:hideMark/>
                </w:tcPr>
                <w:p w14:paraId="5A4DF1EE" w14:textId="51EEEA53" w:rsidR="00490AC2" w:rsidRPr="006F4A41" w:rsidRDefault="00490AC2" w:rsidP="00D33BE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9</w:t>
                  </w:r>
                </w:p>
              </w:tc>
              <w:tc>
                <w:tcPr>
                  <w:tcW w:w="1559" w:type="dxa"/>
                  <w:tcBorders>
                    <w:top w:val="nil"/>
                    <w:left w:val="nil"/>
                    <w:bottom w:val="single" w:sz="4" w:space="0" w:color="808080"/>
                    <w:right w:val="single" w:sz="4" w:space="0" w:color="808080"/>
                  </w:tcBorders>
                  <w:shd w:val="clear" w:color="000000" w:fill="FFFFFF"/>
                  <w:noWrap/>
                  <w:vAlign w:val="bottom"/>
                  <w:hideMark/>
                </w:tcPr>
                <w:p w14:paraId="7B471B69" w14:textId="0416E3DA" w:rsidR="00490AC2" w:rsidRPr="006F4A41" w:rsidRDefault="00490AC2" w:rsidP="00D33BE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13</w:t>
                  </w:r>
                </w:p>
              </w:tc>
              <w:tc>
                <w:tcPr>
                  <w:tcW w:w="1417" w:type="dxa"/>
                  <w:tcBorders>
                    <w:top w:val="nil"/>
                    <w:left w:val="nil"/>
                    <w:bottom w:val="single" w:sz="4" w:space="0" w:color="808080"/>
                    <w:right w:val="single" w:sz="4" w:space="0" w:color="808080"/>
                  </w:tcBorders>
                  <w:shd w:val="clear" w:color="000000" w:fill="FFFFFF"/>
                  <w:noWrap/>
                  <w:vAlign w:val="bottom"/>
                  <w:hideMark/>
                </w:tcPr>
                <w:p w14:paraId="71F3972F" w14:textId="2E19A52F" w:rsidR="00490AC2" w:rsidRPr="006F4A41" w:rsidRDefault="00490AC2" w:rsidP="00D33BE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9</w:t>
                  </w:r>
                </w:p>
              </w:tc>
              <w:tc>
                <w:tcPr>
                  <w:tcW w:w="1953" w:type="dxa"/>
                  <w:tcBorders>
                    <w:top w:val="nil"/>
                    <w:left w:val="nil"/>
                    <w:bottom w:val="single" w:sz="4" w:space="0" w:color="808080"/>
                    <w:right w:val="single" w:sz="4" w:space="0" w:color="808080"/>
                  </w:tcBorders>
                  <w:shd w:val="clear" w:color="000000" w:fill="FFFFFF"/>
                  <w:noWrap/>
                  <w:vAlign w:val="bottom"/>
                  <w:hideMark/>
                </w:tcPr>
                <w:p w14:paraId="28FBD2A6" w14:textId="211884FA" w:rsidR="00490AC2" w:rsidRPr="006F4A41" w:rsidRDefault="00490AC2" w:rsidP="00D33BE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12</w:t>
                  </w:r>
                </w:p>
              </w:tc>
              <w:tc>
                <w:tcPr>
                  <w:tcW w:w="1722" w:type="dxa"/>
                  <w:tcBorders>
                    <w:top w:val="nil"/>
                    <w:left w:val="nil"/>
                    <w:bottom w:val="single" w:sz="4" w:space="0" w:color="808080"/>
                    <w:right w:val="single" w:sz="4" w:space="0" w:color="808080"/>
                  </w:tcBorders>
                  <w:shd w:val="clear" w:color="000000" w:fill="FFFFFF"/>
                  <w:noWrap/>
                  <w:vAlign w:val="bottom"/>
                  <w:hideMark/>
                </w:tcPr>
                <w:p w14:paraId="5FCCE56C" w14:textId="009D1726" w:rsidR="00490AC2" w:rsidRPr="006F4A41" w:rsidRDefault="00490AC2" w:rsidP="00D33BE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12</w:t>
                  </w:r>
                </w:p>
              </w:tc>
              <w:tc>
                <w:tcPr>
                  <w:tcW w:w="2952" w:type="dxa"/>
                  <w:tcBorders>
                    <w:top w:val="nil"/>
                    <w:left w:val="nil"/>
                    <w:bottom w:val="single" w:sz="4" w:space="0" w:color="808080"/>
                    <w:right w:val="single" w:sz="4" w:space="0" w:color="808080"/>
                  </w:tcBorders>
                  <w:shd w:val="clear" w:color="000000" w:fill="FFFFFF"/>
                  <w:noWrap/>
                  <w:vAlign w:val="bottom"/>
                  <w:hideMark/>
                </w:tcPr>
                <w:p w14:paraId="5315CAF3" w14:textId="359779B8" w:rsidR="00490AC2" w:rsidRDefault="00490AC2" w:rsidP="00D33BE7">
                  <w:pPr>
                    <w:spacing w:after="0" w:line="240" w:lineRule="auto"/>
                    <w:jc w:val="right"/>
                    <w:rPr>
                      <w:rFonts w:ascii="Arial" w:eastAsia="Times New Roman" w:hAnsi="Arial" w:cs="Arial"/>
                      <w:color w:val="000000"/>
                      <w:lang w:eastAsia="en-GB"/>
                    </w:rPr>
                  </w:pPr>
                </w:p>
                <w:p w14:paraId="062AF498" w14:textId="38F62690" w:rsidR="00490AC2" w:rsidRDefault="00490AC2" w:rsidP="00D33BE7">
                  <w:pPr>
                    <w:spacing w:after="0" w:line="240" w:lineRule="auto"/>
                    <w:jc w:val="right"/>
                    <w:rPr>
                      <w:rFonts w:ascii="Arial" w:eastAsia="Times New Roman" w:hAnsi="Arial" w:cs="Arial"/>
                      <w:color w:val="000000"/>
                      <w:lang w:eastAsia="en-GB"/>
                    </w:rPr>
                  </w:pPr>
                </w:p>
                <w:p w14:paraId="4B7EDA0A" w14:textId="77777777" w:rsidR="00490AC2" w:rsidRDefault="00490AC2" w:rsidP="00D33BE7">
                  <w:pPr>
                    <w:spacing w:after="0" w:line="240" w:lineRule="auto"/>
                    <w:jc w:val="right"/>
                    <w:rPr>
                      <w:rFonts w:ascii="Arial" w:eastAsia="Times New Roman" w:hAnsi="Arial" w:cs="Arial"/>
                      <w:color w:val="000000"/>
                      <w:lang w:eastAsia="en-GB"/>
                    </w:rPr>
                  </w:pPr>
                </w:p>
                <w:p w14:paraId="528A4623" w14:textId="47813993" w:rsidR="00490AC2" w:rsidRPr="006F4A41" w:rsidRDefault="00490AC2" w:rsidP="00D33BE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8</w:t>
                  </w:r>
                </w:p>
              </w:tc>
            </w:tr>
          </w:tbl>
          <w:p w14:paraId="6B85EE84" w14:textId="0C1C40EE" w:rsidR="00BD3FBC" w:rsidRDefault="00BD3FBC" w:rsidP="00D33BE7">
            <w:pPr>
              <w:spacing w:after="0" w:line="240" w:lineRule="auto"/>
              <w:rPr>
                <w:rFonts w:ascii="Arial" w:eastAsia="Times New Roman" w:hAnsi="Arial" w:cs="Arial"/>
                <w:color w:val="000000"/>
                <w:lang w:eastAsia="en-GB"/>
              </w:rPr>
            </w:pPr>
          </w:p>
          <w:p w14:paraId="6A1CF21C" w14:textId="77777777" w:rsidR="0080746E" w:rsidRDefault="0080746E" w:rsidP="00D33BE7">
            <w:pPr>
              <w:spacing w:after="0" w:line="240" w:lineRule="auto"/>
              <w:rPr>
                <w:rFonts w:ascii="Arial" w:eastAsia="Times New Roman" w:hAnsi="Arial" w:cs="Arial"/>
                <w:color w:val="000000"/>
                <w:lang w:eastAsia="en-GB"/>
              </w:rPr>
            </w:pPr>
          </w:p>
          <w:p w14:paraId="7381019F" w14:textId="77777777" w:rsidR="0080746E" w:rsidRDefault="0080746E" w:rsidP="00D33BE7">
            <w:pPr>
              <w:spacing w:after="0" w:line="240" w:lineRule="auto"/>
              <w:rPr>
                <w:rFonts w:ascii="Arial" w:eastAsia="Times New Roman" w:hAnsi="Arial" w:cs="Arial"/>
                <w:color w:val="000000"/>
                <w:lang w:eastAsia="en-GB"/>
              </w:rPr>
            </w:pPr>
          </w:p>
          <w:p w14:paraId="37282EB8" w14:textId="77777777" w:rsidR="0080746E" w:rsidRPr="006F4A41" w:rsidRDefault="0080746E" w:rsidP="00D33BE7">
            <w:pPr>
              <w:spacing w:after="0" w:line="240" w:lineRule="auto"/>
              <w:rPr>
                <w:rFonts w:ascii="Arial" w:eastAsia="Times New Roman" w:hAnsi="Arial" w:cs="Arial"/>
                <w:color w:val="000000"/>
                <w:lang w:eastAsia="en-GB"/>
              </w:rPr>
            </w:pPr>
          </w:p>
          <w:tbl>
            <w:tblPr>
              <w:tblStyle w:val="TableGrid"/>
              <w:tblW w:w="0" w:type="auto"/>
              <w:tblLook w:val="04A0" w:firstRow="1" w:lastRow="0" w:firstColumn="1" w:lastColumn="0" w:noHBand="0" w:noVBand="1"/>
            </w:tblPr>
            <w:tblGrid>
              <w:gridCol w:w="12474"/>
              <w:gridCol w:w="2835"/>
            </w:tblGrid>
            <w:tr w:rsidR="002F7A29" w14:paraId="1CAAE420" w14:textId="77777777" w:rsidTr="00401CEE">
              <w:tc>
                <w:tcPr>
                  <w:tcW w:w="12474" w:type="dxa"/>
                  <w:shd w:val="clear" w:color="auto" w:fill="A6A6A6" w:themeFill="background1" w:themeFillShade="A6"/>
                </w:tcPr>
                <w:p w14:paraId="04DAF439" w14:textId="7AC904C5" w:rsidR="002F7A29" w:rsidRPr="002F7A29" w:rsidRDefault="002F7A29" w:rsidP="00D33BE7">
                  <w:pPr>
                    <w:rPr>
                      <w:rFonts w:ascii="Arial" w:hAnsi="Arial" w:cs="Arial"/>
                      <w:b/>
                      <w:color w:val="000000"/>
                    </w:rPr>
                  </w:pPr>
                  <w:r>
                    <w:rPr>
                      <w:rFonts w:ascii="Arial" w:hAnsi="Arial" w:cs="Arial"/>
                      <w:b/>
                      <w:color w:val="000000"/>
                    </w:rPr>
                    <w:lastRenderedPageBreak/>
                    <w:t xml:space="preserve">Please provide further </w:t>
                  </w:r>
                  <w:r>
                    <w:rPr>
                      <w:rFonts w:ascii="Arial" w:hAnsi="Arial" w:cs="Arial"/>
                      <w:b/>
                      <w:i/>
                      <w:color w:val="000000"/>
                    </w:rPr>
                    <w:t>brief</w:t>
                  </w:r>
                  <w:r>
                    <w:rPr>
                      <w:rFonts w:ascii="Arial" w:hAnsi="Arial" w:cs="Arial"/>
                      <w:b/>
                      <w:color w:val="000000"/>
                    </w:rPr>
                    <w:t xml:space="preserve"> detail on the following aspects of the course</w:t>
                  </w:r>
                </w:p>
              </w:tc>
              <w:tc>
                <w:tcPr>
                  <w:tcW w:w="2835" w:type="dxa"/>
                  <w:shd w:val="clear" w:color="auto" w:fill="A6A6A6" w:themeFill="background1" w:themeFillShade="A6"/>
                </w:tcPr>
                <w:p w14:paraId="5ED7ECF9" w14:textId="2016743C" w:rsidR="002F7A29" w:rsidRPr="002F7A29" w:rsidRDefault="002F7A29" w:rsidP="00D33BE7">
                  <w:pPr>
                    <w:rPr>
                      <w:rFonts w:ascii="Arial" w:hAnsi="Arial" w:cs="Arial"/>
                      <w:b/>
                      <w:color w:val="000000"/>
                    </w:rPr>
                  </w:pPr>
                  <w:r>
                    <w:rPr>
                      <w:rFonts w:ascii="Arial" w:hAnsi="Arial" w:cs="Arial"/>
                      <w:b/>
                      <w:color w:val="000000"/>
                    </w:rPr>
                    <w:t>Notes</w:t>
                  </w:r>
                </w:p>
              </w:tc>
            </w:tr>
            <w:tr w:rsidR="002F7A29" w14:paraId="6A6E0534" w14:textId="77777777" w:rsidTr="00401CEE">
              <w:tc>
                <w:tcPr>
                  <w:tcW w:w="12474" w:type="dxa"/>
                  <w:shd w:val="clear" w:color="auto" w:fill="D9D9D9" w:themeFill="background1" w:themeFillShade="D9"/>
                </w:tcPr>
                <w:p w14:paraId="62FE6708" w14:textId="0E85B952" w:rsidR="002F7A29" w:rsidRPr="002F7A29" w:rsidRDefault="002F7A29" w:rsidP="00D33BE7">
                  <w:pPr>
                    <w:rPr>
                      <w:rFonts w:ascii="Arial" w:hAnsi="Arial" w:cs="Arial"/>
                      <w:b/>
                      <w:color w:val="000000"/>
                    </w:rPr>
                  </w:pPr>
                  <w:r w:rsidRPr="002F7A29">
                    <w:rPr>
                      <w:rFonts w:ascii="Arial" w:hAnsi="Arial" w:cs="Arial"/>
                      <w:b/>
                      <w:color w:val="000000"/>
                    </w:rPr>
                    <w:t>Practical Work</w:t>
                  </w:r>
                </w:p>
              </w:tc>
              <w:tc>
                <w:tcPr>
                  <w:tcW w:w="2835" w:type="dxa"/>
                  <w:vMerge w:val="restart"/>
                </w:tcPr>
                <w:p w14:paraId="54C37BB7" w14:textId="1ACC4373" w:rsidR="002F7A29" w:rsidRDefault="00C45DC4" w:rsidP="00D33BE7">
                  <w:pPr>
                    <w:rPr>
                      <w:rFonts w:ascii="Arial" w:hAnsi="Arial" w:cs="Arial"/>
                      <w:color w:val="000000"/>
                    </w:rPr>
                  </w:pPr>
                  <w:r>
                    <w:rPr>
                      <w:rFonts w:ascii="Arial" w:hAnsi="Arial" w:cs="Arial"/>
                      <w:color w:val="000000"/>
                    </w:rPr>
                    <w:t xml:space="preserve">Specify what nature is – e.g. embedded in related session/standalone/skills focussed, work in pairs/groups. Also include Health and Safety measures in place. </w:t>
                  </w:r>
                </w:p>
              </w:tc>
            </w:tr>
            <w:tr w:rsidR="002F7A29" w14:paraId="17C38131" w14:textId="77777777" w:rsidTr="00401CEE">
              <w:tc>
                <w:tcPr>
                  <w:tcW w:w="12474" w:type="dxa"/>
                </w:tcPr>
                <w:p w14:paraId="3B33DE31" w14:textId="0E13BC7A" w:rsidR="002F7A29" w:rsidRDefault="00406EBF" w:rsidP="00D33BE7">
                  <w:pPr>
                    <w:rPr>
                      <w:rFonts w:ascii="Arial" w:hAnsi="Arial" w:cs="Arial"/>
                      <w:color w:val="000000"/>
                    </w:rPr>
                  </w:pPr>
                  <w:r w:rsidRPr="00406EBF">
                    <w:rPr>
                      <w:rFonts w:ascii="Arial" w:hAnsi="Arial" w:cs="Arial"/>
                      <w:color w:val="000000"/>
                    </w:rPr>
                    <w:t>Effective practical work is emphasised throughout the course as a key approach to teaching physics and is embedded in each session. This includes evidence-based approaches and advice from Getting Practical. Each session contains a significant proportion of practical activities and online and gap tasks direct participants to these approaches. The sessions include a variety of group,</w:t>
                  </w:r>
                  <w:r>
                    <w:rPr>
                      <w:rFonts w:ascii="Arial" w:hAnsi="Arial" w:cs="Arial"/>
                      <w:color w:val="000000"/>
                    </w:rPr>
                    <w:t xml:space="preserve"> </w:t>
                  </w:r>
                  <w:r w:rsidRPr="00406EBF">
                    <w:rPr>
                      <w:rFonts w:ascii="Arial" w:hAnsi="Arial" w:cs="Arial"/>
                      <w:color w:val="000000"/>
                    </w:rPr>
                    <w:t xml:space="preserve">pair and individual work and involve a range of </w:t>
                  </w:r>
                  <w:proofErr w:type="spellStart"/>
                  <w:r w:rsidRPr="00406EBF">
                    <w:rPr>
                      <w:rFonts w:ascii="Arial" w:hAnsi="Arial" w:cs="Arial"/>
                      <w:color w:val="000000"/>
                    </w:rPr>
                    <w:t>practicals</w:t>
                  </w:r>
                  <w:proofErr w:type="spellEnd"/>
                  <w:r w:rsidRPr="00406EBF">
                    <w:rPr>
                      <w:rFonts w:ascii="Arial" w:hAnsi="Arial" w:cs="Arial"/>
                      <w:color w:val="000000"/>
                    </w:rPr>
                    <w:t xml:space="preserve"> that develop concepts as well as some that focus on developing practical skills in participants (and then in turn their pupils).</w:t>
                  </w:r>
                  <w:r>
                    <w:rPr>
                      <w:rFonts w:ascii="Arial" w:hAnsi="Arial" w:cs="Arial"/>
                      <w:color w:val="000000"/>
                    </w:rPr>
                    <w:t xml:space="preserve"> The learning of a topic includes practical approaches related to that topic. The rationale for practical work emphasis is also explored in the first session.</w:t>
                  </w:r>
                  <w:r w:rsidRPr="00406EBF">
                    <w:rPr>
                      <w:rFonts w:ascii="Arial" w:hAnsi="Arial" w:cs="Arial"/>
                      <w:color w:val="000000"/>
                    </w:rPr>
                    <w:t xml:space="preserve"> All practical activities are risk assessed and appropriate guidance on risk assessment and health and safety is shared with participants.</w:t>
                  </w:r>
                </w:p>
                <w:p w14:paraId="19CA810C" w14:textId="1E564276" w:rsidR="00C45DC4" w:rsidRDefault="00C45DC4" w:rsidP="00D33BE7">
                  <w:pPr>
                    <w:rPr>
                      <w:rFonts w:ascii="Arial" w:hAnsi="Arial" w:cs="Arial"/>
                      <w:color w:val="000000"/>
                    </w:rPr>
                  </w:pPr>
                </w:p>
              </w:tc>
              <w:tc>
                <w:tcPr>
                  <w:tcW w:w="2835" w:type="dxa"/>
                  <w:vMerge/>
                </w:tcPr>
                <w:p w14:paraId="08C56515" w14:textId="77777777" w:rsidR="002F7A29" w:rsidRDefault="002F7A29" w:rsidP="00D33BE7">
                  <w:pPr>
                    <w:rPr>
                      <w:rFonts w:ascii="Arial" w:hAnsi="Arial" w:cs="Arial"/>
                      <w:color w:val="000000"/>
                    </w:rPr>
                  </w:pPr>
                </w:p>
              </w:tc>
            </w:tr>
            <w:tr w:rsidR="00C45DC4" w14:paraId="20ABBE00" w14:textId="77777777" w:rsidTr="00401CEE">
              <w:tc>
                <w:tcPr>
                  <w:tcW w:w="12474" w:type="dxa"/>
                  <w:shd w:val="clear" w:color="auto" w:fill="D9D9D9" w:themeFill="background1" w:themeFillShade="D9"/>
                </w:tcPr>
                <w:p w14:paraId="423FEEDF" w14:textId="74266552" w:rsidR="00C45DC4" w:rsidRPr="00C45DC4" w:rsidRDefault="00C45DC4" w:rsidP="00D33BE7">
                  <w:pPr>
                    <w:rPr>
                      <w:rFonts w:ascii="Arial" w:hAnsi="Arial" w:cs="Arial"/>
                      <w:b/>
                      <w:color w:val="000000"/>
                    </w:rPr>
                  </w:pPr>
                  <w:r>
                    <w:rPr>
                      <w:rFonts w:ascii="Arial" w:hAnsi="Arial" w:cs="Arial"/>
                      <w:b/>
                      <w:color w:val="000000"/>
                    </w:rPr>
                    <w:t>Subject knowledge</w:t>
                  </w:r>
                </w:p>
              </w:tc>
              <w:tc>
                <w:tcPr>
                  <w:tcW w:w="2835" w:type="dxa"/>
                  <w:vMerge w:val="restart"/>
                </w:tcPr>
                <w:p w14:paraId="29BBB216" w14:textId="65CE9971" w:rsidR="00C45DC4" w:rsidRDefault="00C45DC4" w:rsidP="00D33BE7">
                  <w:pPr>
                    <w:rPr>
                      <w:rFonts w:ascii="Arial" w:hAnsi="Arial" w:cs="Arial"/>
                      <w:color w:val="000000"/>
                    </w:rPr>
                  </w:pPr>
                  <w:r>
                    <w:rPr>
                      <w:rFonts w:ascii="Arial" w:hAnsi="Arial" w:cs="Arial"/>
                      <w:color w:val="000000"/>
                    </w:rPr>
                    <w:t>Please give more details on methodology of subject knowledge (e.g. lecture, practice questions, peer tutorial, diagnostic testing)</w:t>
                  </w:r>
                </w:p>
              </w:tc>
            </w:tr>
            <w:tr w:rsidR="00C45DC4" w14:paraId="6B832293" w14:textId="77777777" w:rsidTr="00401CEE">
              <w:tc>
                <w:tcPr>
                  <w:tcW w:w="12474" w:type="dxa"/>
                </w:tcPr>
                <w:p w14:paraId="0D0A3270" w14:textId="4516F235" w:rsidR="00C45DC4" w:rsidRPr="003A6B39" w:rsidRDefault="00406EBF" w:rsidP="00D33BE7">
                  <w:pPr>
                    <w:rPr>
                      <w:rFonts w:ascii="Arial" w:hAnsi="Arial" w:cs="Arial"/>
                      <w:color w:val="000000"/>
                    </w:rPr>
                  </w:pPr>
                  <w:r w:rsidRPr="003A6B39">
                    <w:rPr>
                      <w:rFonts w:ascii="Arial" w:hAnsi="Arial" w:cs="Arial"/>
                      <w:color w:val="000000"/>
                    </w:rPr>
                    <w:t xml:space="preserve">Subject knowledge is developed through pre and post session </w:t>
                  </w:r>
                  <w:proofErr w:type="gramStart"/>
                  <w:r w:rsidRPr="003A6B39">
                    <w:rPr>
                      <w:rFonts w:ascii="Arial" w:hAnsi="Arial" w:cs="Arial"/>
                      <w:color w:val="000000"/>
                    </w:rPr>
                    <w:t>reading, that</w:t>
                  </w:r>
                  <w:proofErr w:type="gramEnd"/>
                  <w:r w:rsidRPr="003A6B39">
                    <w:rPr>
                      <w:rFonts w:ascii="Arial" w:hAnsi="Arial" w:cs="Arial"/>
                      <w:color w:val="000000"/>
                    </w:rPr>
                    <w:t xml:space="preserve"> includes use of selected nuggets from IOP SPT materials. Face to face sessions develop subject knowledge and understanding through discussion, practical work, </w:t>
                  </w:r>
                  <w:proofErr w:type="spellStart"/>
                  <w:proofErr w:type="gramStart"/>
                  <w:r w:rsidRPr="003A6B39">
                    <w:rPr>
                      <w:rFonts w:ascii="Arial" w:hAnsi="Arial" w:cs="Arial"/>
                      <w:color w:val="000000"/>
                    </w:rPr>
                    <w:t>AfL</w:t>
                  </w:r>
                  <w:proofErr w:type="spellEnd"/>
                  <w:proofErr w:type="gramEnd"/>
                  <w:r w:rsidRPr="003A6B39">
                    <w:rPr>
                      <w:rFonts w:ascii="Arial" w:hAnsi="Arial" w:cs="Arial"/>
                      <w:color w:val="000000"/>
                    </w:rPr>
                    <w:t xml:space="preserve"> tasks before, during and after sessions. Subject knowledge development will be assessed by using pre and post session/course testing and we will endeavour to gather this information in a way that can be shared with session facilitators (subject to permission from participants) to aid session planning. Han</w:t>
                  </w:r>
                  <w:r w:rsidR="00785031" w:rsidRPr="003A6B39">
                    <w:rPr>
                      <w:rFonts w:ascii="Arial" w:hAnsi="Arial" w:cs="Arial"/>
                      <w:color w:val="000000"/>
                    </w:rPr>
                    <w:t xml:space="preserve">dling of subject knowledge </w:t>
                  </w:r>
                  <w:r w:rsidRPr="003A6B39">
                    <w:rPr>
                      <w:rFonts w:ascii="Arial" w:hAnsi="Arial" w:cs="Arial"/>
                      <w:color w:val="000000"/>
                    </w:rPr>
                    <w:t>follow</w:t>
                  </w:r>
                  <w:r w:rsidR="00785031" w:rsidRPr="003A6B39">
                    <w:rPr>
                      <w:rFonts w:ascii="Arial" w:hAnsi="Arial" w:cs="Arial"/>
                      <w:color w:val="000000"/>
                    </w:rPr>
                    <w:t>s</w:t>
                  </w:r>
                  <w:r w:rsidRPr="003A6B39">
                    <w:rPr>
                      <w:rFonts w:ascii="Arial" w:hAnsi="Arial" w:cs="Arial"/>
                      <w:color w:val="000000"/>
                    </w:rPr>
                    <w:t xml:space="preserve"> guidelines from IOP and other relevant bodies.</w:t>
                  </w:r>
                </w:p>
                <w:p w14:paraId="77A4CED4" w14:textId="5769B323" w:rsidR="00C45DC4" w:rsidRDefault="00C45DC4" w:rsidP="00D33BE7">
                  <w:pPr>
                    <w:rPr>
                      <w:rFonts w:ascii="Arial" w:hAnsi="Arial" w:cs="Arial"/>
                      <w:color w:val="000000"/>
                    </w:rPr>
                  </w:pPr>
                </w:p>
              </w:tc>
              <w:tc>
                <w:tcPr>
                  <w:tcW w:w="2835" w:type="dxa"/>
                  <w:vMerge/>
                </w:tcPr>
                <w:p w14:paraId="089F8A23" w14:textId="77777777" w:rsidR="00C45DC4" w:rsidRDefault="00C45DC4" w:rsidP="00D33BE7">
                  <w:pPr>
                    <w:rPr>
                      <w:rFonts w:ascii="Arial" w:hAnsi="Arial" w:cs="Arial"/>
                      <w:color w:val="000000"/>
                    </w:rPr>
                  </w:pPr>
                </w:p>
              </w:tc>
            </w:tr>
            <w:tr w:rsidR="00C45DC4" w14:paraId="4127CF3B" w14:textId="77777777" w:rsidTr="00401CEE">
              <w:tc>
                <w:tcPr>
                  <w:tcW w:w="12474" w:type="dxa"/>
                  <w:shd w:val="clear" w:color="auto" w:fill="D9D9D9" w:themeFill="background1" w:themeFillShade="D9"/>
                </w:tcPr>
                <w:p w14:paraId="20D254A5" w14:textId="779E32FF" w:rsidR="00C45DC4" w:rsidRPr="00C45DC4" w:rsidRDefault="00C45DC4" w:rsidP="00D33BE7">
                  <w:pPr>
                    <w:rPr>
                      <w:rFonts w:ascii="Arial" w:hAnsi="Arial" w:cs="Arial"/>
                      <w:b/>
                      <w:color w:val="000000"/>
                    </w:rPr>
                  </w:pPr>
                  <w:r>
                    <w:rPr>
                      <w:rFonts w:ascii="Arial" w:hAnsi="Arial" w:cs="Arial"/>
                      <w:b/>
                      <w:color w:val="000000"/>
                    </w:rPr>
                    <w:t>Pedagogical Content Knowledge</w:t>
                  </w:r>
                </w:p>
              </w:tc>
              <w:tc>
                <w:tcPr>
                  <w:tcW w:w="2835" w:type="dxa"/>
                  <w:vMerge w:val="restart"/>
                </w:tcPr>
                <w:p w14:paraId="4005FF81" w14:textId="72CADBF4" w:rsidR="00C45DC4" w:rsidRDefault="00C45DC4" w:rsidP="00C45DC4">
                  <w:pPr>
                    <w:rPr>
                      <w:rFonts w:ascii="Arial" w:hAnsi="Arial" w:cs="Arial"/>
                      <w:color w:val="000000"/>
                    </w:rPr>
                  </w:pPr>
                  <w:r>
                    <w:rPr>
                      <w:rFonts w:ascii="Arial" w:hAnsi="Arial" w:cs="Arial"/>
                      <w:color w:val="000000"/>
                    </w:rPr>
                    <w:t>Give further details on methodology used (e.g. pupils, misconceptions/naïve conceptions)</w:t>
                  </w:r>
                </w:p>
              </w:tc>
            </w:tr>
            <w:tr w:rsidR="00C45DC4" w14:paraId="124E9D6D" w14:textId="77777777" w:rsidTr="00401CEE">
              <w:tc>
                <w:tcPr>
                  <w:tcW w:w="12474" w:type="dxa"/>
                </w:tcPr>
                <w:p w14:paraId="51D8A1C8" w14:textId="0902B404" w:rsidR="00C45DC4" w:rsidRDefault="00406EBF" w:rsidP="0080746E">
                  <w:pPr>
                    <w:tabs>
                      <w:tab w:val="left" w:pos="2099"/>
                    </w:tabs>
                    <w:rPr>
                      <w:rFonts w:ascii="Arial" w:hAnsi="Arial" w:cs="Arial"/>
                      <w:color w:val="000000"/>
                    </w:rPr>
                  </w:pPr>
                  <w:r w:rsidRPr="00406EBF">
                    <w:rPr>
                      <w:rFonts w:ascii="Arial" w:hAnsi="Arial" w:cs="Arial"/>
                      <w:color w:val="000000"/>
                    </w:rPr>
                    <w:t xml:space="preserve">All of our face to face sessions will allow participants to experience what it is like for the young people they teach. This will include </w:t>
                  </w:r>
                  <w:proofErr w:type="gramStart"/>
                  <w:r w:rsidRPr="00406EBF">
                    <w:rPr>
                      <w:rFonts w:ascii="Arial" w:hAnsi="Arial" w:cs="Arial"/>
                      <w:color w:val="000000"/>
                    </w:rPr>
                    <w:t>them</w:t>
                  </w:r>
                  <w:proofErr w:type="gramEnd"/>
                  <w:r w:rsidRPr="00406EBF">
                    <w:rPr>
                      <w:rFonts w:ascii="Arial" w:hAnsi="Arial" w:cs="Arial"/>
                      <w:color w:val="000000"/>
                    </w:rPr>
                    <w:t xml:space="preserve"> providing explanations to phenomena, which will be explored further through discussion. They will experience and be taught how to use approaches such as cognitive conflict and metacognitive strategies to develop these ideas further. The use of online testing and </w:t>
                  </w:r>
                  <w:proofErr w:type="spellStart"/>
                  <w:r w:rsidRPr="00406EBF">
                    <w:rPr>
                      <w:rFonts w:ascii="Arial" w:hAnsi="Arial" w:cs="Arial"/>
                      <w:color w:val="000000"/>
                    </w:rPr>
                    <w:t>AfL</w:t>
                  </w:r>
                  <w:proofErr w:type="spellEnd"/>
                  <w:r w:rsidRPr="00406EBF">
                    <w:rPr>
                      <w:rFonts w:ascii="Arial" w:hAnsi="Arial" w:cs="Arial"/>
                      <w:color w:val="000000"/>
                    </w:rPr>
                    <w:t xml:space="preserve"> during sessions will help facilitators identify pre and misconceptions that are unhelpful and give participants chance to test these fully and revisit these pre and misconceptions, promoting change to a more helpful set of ideas. Handling of PCK</w:t>
                  </w:r>
                  <w:r w:rsidR="00785031">
                    <w:rPr>
                      <w:rFonts w:ascii="Arial" w:hAnsi="Arial" w:cs="Arial"/>
                      <w:color w:val="000000"/>
                    </w:rPr>
                    <w:t xml:space="preserve"> is evidence based and</w:t>
                  </w:r>
                  <w:r w:rsidRPr="00406EBF">
                    <w:rPr>
                      <w:rFonts w:ascii="Arial" w:hAnsi="Arial" w:cs="Arial"/>
                      <w:color w:val="000000"/>
                    </w:rPr>
                    <w:t xml:space="preserve"> follow</w:t>
                  </w:r>
                  <w:r w:rsidR="00785031">
                    <w:rPr>
                      <w:rFonts w:ascii="Arial" w:hAnsi="Arial" w:cs="Arial"/>
                      <w:color w:val="000000"/>
                    </w:rPr>
                    <w:t>s</w:t>
                  </w:r>
                  <w:r w:rsidRPr="00406EBF">
                    <w:rPr>
                      <w:rFonts w:ascii="Arial" w:hAnsi="Arial" w:cs="Arial"/>
                      <w:color w:val="000000"/>
                    </w:rPr>
                    <w:t xml:space="preserve"> guidelines from IOP and other relevant bodies</w:t>
                  </w:r>
                  <w:r w:rsidR="00785031">
                    <w:rPr>
                      <w:rFonts w:ascii="Arial" w:hAnsi="Arial" w:cs="Arial"/>
                      <w:color w:val="000000"/>
                    </w:rPr>
                    <w:t>.</w:t>
                  </w:r>
                </w:p>
                <w:p w14:paraId="2F45DC55" w14:textId="73EFCEAC" w:rsidR="00C45DC4" w:rsidRDefault="00C45DC4" w:rsidP="00D33BE7">
                  <w:pPr>
                    <w:rPr>
                      <w:rFonts w:ascii="Arial" w:hAnsi="Arial" w:cs="Arial"/>
                      <w:color w:val="000000"/>
                    </w:rPr>
                  </w:pPr>
                </w:p>
              </w:tc>
              <w:tc>
                <w:tcPr>
                  <w:tcW w:w="2835" w:type="dxa"/>
                  <w:vMerge/>
                </w:tcPr>
                <w:p w14:paraId="262270D0" w14:textId="77777777" w:rsidR="00C45DC4" w:rsidRDefault="00C45DC4" w:rsidP="00D33BE7">
                  <w:pPr>
                    <w:rPr>
                      <w:rFonts w:ascii="Arial" w:hAnsi="Arial" w:cs="Arial"/>
                      <w:color w:val="000000"/>
                    </w:rPr>
                  </w:pPr>
                </w:p>
              </w:tc>
            </w:tr>
            <w:tr w:rsidR="00C45DC4" w14:paraId="67EFFDCD" w14:textId="77777777" w:rsidTr="00401CEE">
              <w:tc>
                <w:tcPr>
                  <w:tcW w:w="12474" w:type="dxa"/>
                  <w:shd w:val="clear" w:color="auto" w:fill="D9D9D9" w:themeFill="background1" w:themeFillShade="D9"/>
                </w:tcPr>
                <w:p w14:paraId="6CFA2B79" w14:textId="1203EEDB" w:rsidR="00C45DC4" w:rsidRPr="00C45DC4" w:rsidRDefault="00C45DC4" w:rsidP="00D33BE7">
                  <w:pPr>
                    <w:rPr>
                      <w:rFonts w:ascii="Arial" w:hAnsi="Arial" w:cs="Arial"/>
                      <w:b/>
                      <w:color w:val="000000"/>
                    </w:rPr>
                  </w:pPr>
                  <w:r>
                    <w:rPr>
                      <w:rFonts w:ascii="Arial" w:hAnsi="Arial" w:cs="Arial"/>
                      <w:b/>
                      <w:color w:val="000000"/>
                    </w:rPr>
                    <w:t>Research Informed Practice</w:t>
                  </w:r>
                </w:p>
              </w:tc>
              <w:tc>
                <w:tcPr>
                  <w:tcW w:w="2835" w:type="dxa"/>
                  <w:vMerge w:val="restart"/>
                </w:tcPr>
                <w:p w14:paraId="547B4CF8" w14:textId="4DAD6D81" w:rsidR="00C45DC4" w:rsidRDefault="00C45DC4" w:rsidP="00D33BE7">
                  <w:pPr>
                    <w:rPr>
                      <w:rFonts w:ascii="Arial" w:hAnsi="Arial" w:cs="Arial"/>
                      <w:color w:val="000000"/>
                    </w:rPr>
                  </w:pPr>
                  <w:r>
                    <w:rPr>
                      <w:rFonts w:ascii="Arial" w:hAnsi="Arial" w:cs="Arial"/>
                      <w:color w:val="000000"/>
                    </w:rPr>
                    <w:t xml:space="preserve">How do you propose to embed the results of research informed best practice (e.g. access to research articles) </w:t>
                  </w:r>
                </w:p>
                <w:p w14:paraId="5462A8BB" w14:textId="48DE097A" w:rsidR="00C45DC4" w:rsidRDefault="00C45DC4" w:rsidP="00D33BE7">
                  <w:pPr>
                    <w:rPr>
                      <w:rFonts w:ascii="Arial" w:hAnsi="Arial" w:cs="Arial"/>
                      <w:color w:val="000000"/>
                    </w:rPr>
                  </w:pPr>
                </w:p>
              </w:tc>
            </w:tr>
            <w:tr w:rsidR="00C45DC4" w14:paraId="4EF02400" w14:textId="77777777" w:rsidTr="00401CEE">
              <w:tc>
                <w:tcPr>
                  <w:tcW w:w="12474" w:type="dxa"/>
                </w:tcPr>
                <w:p w14:paraId="0E9C2D52" w14:textId="47C0BD71" w:rsidR="00C45DC4" w:rsidRPr="0080746E" w:rsidRDefault="0080746E" w:rsidP="0080746E">
                  <w:pPr>
                    <w:tabs>
                      <w:tab w:val="left" w:pos="2114"/>
                    </w:tabs>
                    <w:rPr>
                      <w:rFonts w:ascii="Arial" w:hAnsi="Arial" w:cs="Arial"/>
                      <w:color w:val="000000"/>
                    </w:rPr>
                  </w:pPr>
                  <w:r w:rsidRPr="0080746E">
                    <w:rPr>
                      <w:rFonts w:ascii="Arial" w:hAnsi="Arial" w:cs="Arial"/>
                      <w:color w:val="000000"/>
                    </w:rPr>
                    <w:t>The course will draw on a range of materials and approaches both to support their own development and their pedagogical practice.  In particular, in relation to high-value subject specific pedagogies and assessment strategies, met</w:t>
                  </w:r>
                  <w:r>
                    <w:rPr>
                      <w:rFonts w:ascii="Arial" w:hAnsi="Arial" w:cs="Arial"/>
                      <w:color w:val="000000"/>
                    </w:rPr>
                    <w:t>a</w:t>
                  </w:r>
                  <w:r w:rsidRPr="0080746E">
                    <w:rPr>
                      <w:rFonts w:ascii="Arial" w:hAnsi="Arial" w:cs="Arial"/>
                      <w:color w:val="000000"/>
                    </w:rPr>
                    <w:t xml:space="preserve">cognitive strategies, co-operative learning and peer coaching These are explicitly stated during the first session of the course, which includes access to a range of summarised educational research findings, such as the work by John Hattie, </w:t>
                  </w:r>
                  <w:proofErr w:type="spellStart"/>
                  <w:r w:rsidRPr="0080746E">
                    <w:rPr>
                      <w:rFonts w:ascii="Arial" w:hAnsi="Arial" w:cs="Arial"/>
                      <w:color w:val="000000"/>
                    </w:rPr>
                    <w:t>IoP</w:t>
                  </w:r>
                  <w:proofErr w:type="spellEnd"/>
                  <w:r w:rsidRPr="0080746E">
                    <w:rPr>
                      <w:rFonts w:ascii="Arial" w:hAnsi="Arial" w:cs="Arial"/>
                      <w:color w:val="000000"/>
                    </w:rPr>
                    <w:t xml:space="preserve"> Girls in Physics resources, the work of R</w:t>
                  </w:r>
                  <w:r>
                    <w:rPr>
                      <w:rFonts w:ascii="Arial" w:hAnsi="Arial" w:cs="Arial"/>
                      <w:color w:val="000000"/>
                    </w:rPr>
                    <w:t xml:space="preserve">obin </w:t>
                  </w:r>
                  <w:proofErr w:type="spellStart"/>
                  <w:r>
                    <w:rPr>
                      <w:rFonts w:ascii="Arial" w:hAnsi="Arial" w:cs="Arial"/>
                      <w:color w:val="000000"/>
                    </w:rPr>
                    <w:t>MIllar</w:t>
                  </w:r>
                  <w:proofErr w:type="spellEnd"/>
                  <w:r>
                    <w:rPr>
                      <w:rFonts w:ascii="Arial" w:hAnsi="Arial" w:cs="Arial"/>
                      <w:color w:val="000000"/>
                    </w:rPr>
                    <w:t xml:space="preserve"> and Phil Scott.   Fi</w:t>
                  </w:r>
                  <w:r w:rsidRPr="0080746E">
                    <w:rPr>
                      <w:rFonts w:ascii="Arial" w:hAnsi="Arial" w:cs="Arial"/>
                      <w:color w:val="000000"/>
                    </w:rPr>
                    <w:t>ndings of Ofsted in science and science specific approac</w:t>
                  </w:r>
                  <w:r>
                    <w:rPr>
                      <w:rFonts w:ascii="Arial" w:hAnsi="Arial" w:cs="Arial"/>
                      <w:color w:val="000000"/>
                    </w:rPr>
                    <w:t>hes will be referred to through</w:t>
                  </w:r>
                  <w:r w:rsidRPr="0080746E">
                    <w:rPr>
                      <w:rFonts w:ascii="Arial" w:hAnsi="Arial" w:cs="Arial"/>
                      <w:color w:val="000000"/>
                    </w:rPr>
                    <w:t>out.</w:t>
                  </w:r>
                </w:p>
                <w:p w14:paraId="451AC7DD" w14:textId="74F8FA03" w:rsidR="00C45DC4" w:rsidRDefault="00C45DC4" w:rsidP="00D33BE7">
                  <w:pPr>
                    <w:rPr>
                      <w:rFonts w:ascii="Arial" w:hAnsi="Arial" w:cs="Arial"/>
                      <w:b/>
                      <w:color w:val="000000"/>
                    </w:rPr>
                  </w:pPr>
                </w:p>
              </w:tc>
              <w:tc>
                <w:tcPr>
                  <w:tcW w:w="2835" w:type="dxa"/>
                  <w:vMerge/>
                </w:tcPr>
                <w:p w14:paraId="2F724C91" w14:textId="2C6C44EA" w:rsidR="00C45DC4" w:rsidRDefault="00C45DC4" w:rsidP="00D33BE7">
                  <w:pPr>
                    <w:rPr>
                      <w:rFonts w:ascii="Arial" w:hAnsi="Arial" w:cs="Arial"/>
                      <w:color w:val="000000"/>
                    </w:rPr>
                  </w:pPr>
                </w:p>
              </w:tc>
            </w:tr>
            <w:tr w:rsidR="00C45DC4" w14:paraId="232ED03D" w14:textId="77777777" w:rsidTr="00401CEE">
              <w:tc>
                <w:tcPr>
                  <w:tcW w:w="12474" w:type="dxa"/>
                  <w:shd w:val="clear" w:color="auto" w:fill="D9D9D9" w:themeFill="background1" w:themeFillShade="D9"/>
                </w:tcPr>
                <w:p w14:paraId="62A7265C" w14:textId="546655AE" w:rsidR="00C45DC4" w:rsidRPr="00C45DC4" w:rsidRDefault="00C45DC4" w:rsidP="00D33BE7">
                  <w:pPr>
                    <w:rPr>
                      <w:rFonts w:ascii="Arial" w:hAnsi="Arial" w:cs="Arial"/>
                      <w:b/>
                      <w:color w:val="000000"/>
                    </w:rPr>
                  </w:pPr>
                  <w:r>
                    <w:rPr>
                      <w:rFonts w:ascii="Arial" w:hAnsi="Arial" w:cs="Arial"/>
                      <w:b/>
                      <w:color w:val="000000"/>
                    </w:rPr>
                    <w:t>Handling of Mathematical Requirements</w:t>
                  </w:r>
                </w:p>
              </w:tc>
              <w:tc>
                <w:tcPr>
                  <w:tcW w:w="2835" w:type="dxa"/>
                  <w:vMerge w:val="restart"/>
                </w:tcPr>
                <w:p w14:paraId="3026C077" w14:textId="0109B3B0" w:rsidR="00C45DC4" w:rsidRDefault="00C45DC4" w:rsidP="00D33BE7">
                  <w:pPr>
                    <w:rPr>
                      <w:rFonts w:ascii="Arial" w:hAnsi="Arial" w:cs="Arial"/>
                      <w:color w:val="000000"/>
                    </w:rPr>
                  </w:pPr>
                  <w:r>
                    <w:rPr>
                      <w:rFonts w:ascii="Arial" w:hAnsi="Arial" w:cs="Arial"/>
                      <w:color w:val="000000"/>
                    </w:rPr>
                    <w:t>e.g. handling of graphical techniques, proportionality, errors</w:t>
                  </w:r>
                </w:p>
                <w:p w14:paraId="41779228" w14:textId="449434BA" w:rsidR="00C45DC4" w:rsidRDefault="00C45DC4" w:rsidP="00D33BE7">
                  <w:pPr>
                    <w:rPr>
                      <w:rFonts w:ascii="Arial" w:hAnsi="Arial" w:cs="Arial"/>
                      <w:color w:val="000000"/>
                    </w:rPr>
                  </w:pPr>
                </w:p>
              </w:tc>
            </w:tr>
            <w:tr w:rsidR="00C45DC4" w14:paraId="4DF78A13" w14:textId="77777777" w:rsidTr="00401CEE">
              <w:tc>
                <w:tcPr>
                  <w:tcW w:w="12474" w:type="dxa"/>
                </w:tcPr>
                <w:p w14:paraId="27E87C36" w14:textId="0640417C" w:rsidR="00C45DC4" w:rsidRPr="0080746E" w:rsidRDefault="0080746E" w:rsidP="00D33BE7">
                  <w:pPr>
                    <w:rPr>
                      <w:rFonts w:ascii="Arial" w:hAnsi="Arial" w:cs="Arial"/>
                      <w:color w:val="000000"/>
                    </w:rPr>
                  </w:pPr>
                  <w:r w:rsidRPr="0080746E">
                    <w:rPr>
                      <w:rFonts w:ascii="Arial" w:hAnsi="Arial" w:cs="Arial"/>
                      <w:color w:val="000000"/>
                    </w:rPr>
                    <w:t>The emphasis throughout the course will be 'maths last' and will take participants through the idea of proportional thinking first. A range of strategies to support effective use of maths, such as 'feature assessment' of graphs and calculations will be explored with participants. Alternative ways of developing graph work such as 'living graphs' will be used too. Significant figures also included. These skills are built gradually through the course, increasing in demand for participants in later sessions.</w:t>
                  </w:r>
                </w:p>
                <w:p w14:paraId="4A5A9223" w14:textId="5F35A42F" w:rsidR="00C45DC4" w:rsidRDefault="00C45DC4" w:rsidP="00D33BE7">
                  <w:pPr>
                    <w:rPr>
                      <w:rFonts w:ascii="Arial" w:hAnsi="Arial" w:cs="Arial"/>
                      <w:b/>
                      <w:color w:val="000000"/>
                    </w:rPr>
                  </w:pPr>
                </w:p>
              </w:tc>
              <w:tc>
                <w:tcPr>
                  <w:tcW w:w="2835" w:type="dxa"/>
                  <w:vMerge/>
                </w:tcPr>
                <w:p w14:paraId="0FA527E1" w14:textId="0DF4C9B5" w:rsidR="00C45DC4" w:rsidRDefault="00C45DC4" w:rsidP="00D33BE7">
                  <w:pPr>
                    <w:rPr>
                      <w:rFonts w:ascii="Arial" w:hAnsi="Arial" w:cs="Arial"/>
                      <w:color w:val="000000"/>
                    </w:rPr>
                  </w:pPr>
                </w:p>
              </w:tc>
            </w:tr>
            <w:tr w:rsidR="00C45DC4" w14:paraId="112F0B61" w14:textId="77777777" w:rsidTr="00401CEE">
              <w:tc>
                <w:tcPr>
                  <w:tcW w:w="12474" w:type="dxa"/>
                  <w:shd w:val="clear" w:color="auto" w:fill="D9D9D9" w:themeFill="background1" w:themeFillShade="D9"/>
                </w:tcPr>
                <w:p w14:paraId="1D8E1315" w14:textId="67FFD114" w:rsidR="00C45DC4" w:rsidRPr="00C45DC4" w:rsidRDefault="00C45DC4" w:rsidP="00D33BE7">
                  <w:pPr>
                    <w:rPr>
                      <w:rFonts w:ascii="Arial" w:hAnsi="Arial" w:cs="Arial"/>
                      <w:b/>
                      <w:color w:val="000000"/>
                    </w:rPr>
                  </w:pPr>
                  <w:r w:rsidRPr="00C45DC4">
                    <w:rPr>
                      <w:rFonts w:ascii="Arial" w:hAnsi="Arial" w:cs="Arial"/>
                      <w:b/>
                      <w:color w:val="000000"/>
                    </w:rPr>
                    <w:lastRenderedPageBreak/>
                    <w:t>Participant Assessment Arrangements</w:t>
                  </w:r>
                </w:p>
              </w:tc>
              <w:tc>
                <w:tcPr>
                  <w:tcW w:w="2835" w:type="dxa"/>
                  <w:vMerge w:val="restart"/>
                </w:tcPr>
                <w:p w14:paraId="077A617B" w14:textId="11E6B37E" w:rsidR="00C45DC4" w:rsidRDefault="00C45DC4" w:rsidP="00D33BE7">
                  <w:pPr>
                    <w:rPr>
                      <w:rFonts w:ascii="Arial" w:hAnsi="Arial" w:cs="Arial"/>
                      <w:color w:val="000000"/>
                    </w:rPr>
                  </w:pPr>
                  <w:r>
                    <w:rPr>
                      <w:rFonts w:ascii="Arial" w:hAnsi="Arial" w:cs="Arial"/>
                      <w:color w:val="000000"/>
                    </w:rPr>
                    <w:t xml:space="preserve">Use of various modes e.g. lesson observation, portfolio, diagnostic testing, etc. </w:t>
                  </w:r>
                </w:p>
                <w:p w14:paraId="6E7ECA98" w14:textId="7E27A710" w:rsidR="00C45DC4" w:rsidRDefault="00C45DC4" w:rsidP="00D33BE7">
                  <w:pPr>
                    <w:rPr>
                      <w:rFonts w:ascii="Arial" w:hAnsi="Arial" w:cs="Arial"/>
                      <w:color w:val="000000"/>
                    </w:rPr>
                  </w:pPr>
                </w:p>
              </w:tc>
            </w:tr>
            <w:tr w:rsidR="00C45DC4" w14:paraId="387ED99D" w14:textId="77777777" w:rsidTr="00401CEE">
              <w:tc>
                <w:tcPr>
                  <w:tcW w:w="12474" w:type="dxa"/>
                </w:tcPr>
                <w:p w14:paraId="21082A9D" w14:textId="5C5DACCA" w:rsidR="00C45DC4" w:rsidRPr="0080746E" w:rsidRDefault="0080746E" w:rsidP="00D33BE7">
                  <w:pPr>
                    <w:rPr>
                      <w:rFonts w:ascii="Arial" w:hAnsi="Arial" w:cs="Arial"/>
                      <w:color w:val="000000"/>
                    </w:rPr>
                  </w:pPr>
                  <w:r w:rsidRPr="0080746E">
                    <w:rPr>
                      <w:rFonts w:ascii="Arial" w:hAnsi="Arial" w:cs="Arial"/>
                      <w:color w:val="000000"/>
                    </w:rPr>
                    <w:t>Participants are required to submit a reflective piece to an online portal in between each session. The</w:t>
                  </w:r>
                  <w:r w:rsidR="003A6B39">
                    <w:rPr>
                      <w:rFonts w:ascii="Arial" w:hAnsi="Arial" w:cs="Arial"/>
                      <w:color w:val="000000"/>
                    </w:rPr>
                    <w:t>se</w:t>
                  </w:r>
                  <w:r w:rsidRPr="0080746E">
                    <w:rPr>
                      <w:rFonts w:ascii="Arial" w:hAnsi="Arial" w:cs="Arial"/>
                      <w:color w:val="000000"/>
                    </w:rPr>
                    <w:t xml:space="preserve"> are also required to provide a summative presentation of their learning and the impact of this at the end of the programme. This includes a written summary. Diagnostic assessment is written in to each of the modules using the IOP online testing materials.</w:t>
                  </w:r>
                  <w:r>
                    <w:rPr>
                      <w:rFonts w:ascii="Arial" w:hAnsi="Arial" w:cs="Arial"/>
                      <w:color w:val="000000"/>
                    </w:rPr>
                    <w:t xml:space="preserve"> A portfolio of the impact of the work is built up during the course and participants use this to apply for external accreditation.</w:t>
                  </w:r>
                  <w:bookmarkStart w:id="0" w:name="_GoBack"/>
                  <w:bookmarkEnd w:id="0"/>
                </w:p>
                <w:p w14:paraId="20EE5F1E" w14:textId="40CD5A26" w:rsidR="00C45DC4" w:rsidRDefault="00C45DC4" w:rsidP="00D33BE7">
                  <w:pPr>
                    <w:rPr>
                      <w:rFonts w:ascii="Arial" w:hAnsi="Arial" w:cs="Arial"/>
                      <w:b/>
                      <w:color w:val="000000"/>
                    </w:rPr>
                  </w:pPr>
                </w:p>
              </w:tc>
              <w:tc>
                <w:tcPr>
                  <w:tcW w:w="2835" w:type="dxa"/>
                  <w:vMerge/>
                </w:tcPr>
                <w:p w14:paraId="73C3C58E" w14:textId="7655BBC1" w:rsidR="00C45DC4" w:rsidRDefault="00C45DC4" w:rsidP="00D33BE7">
                  <w:pPr>
                    <w:rPr>
                      <w:rFonts w:ascii="Arial" w:hAnsi="Arial" w:cs="Arial"/>
                      <w:color w:val="000000"/>
                    </w:rPr>
                  </w:pPr>
                </w:p>
              </w:tc>
            </w:tr>
            <w:tr w:rsidR="00C45DC4" w14:paraId="1D55E92E" w14:textId="77777777" w:rsidTr="0080746E">
              <w:trPr>
                <w:trHeight w:val="296"/>
              </w:trPr>
              <w:tc>
                <w:tcPr>
                  <w:tcW w:w="12474" w:type="dxa"/>
                  <w:shd w:val="clear" w:color="auto" w:fill="D9D9D9" w:themeFill="background1" w:themeFillShade="D9"/>
                </w:tcPr>
                <w:p w14:paraId="7B7E6280" w14:textId="14E339BF" w:rsidR="00C45DC4" w:rsidRPr="00C45DC4" w:rsidRDefault="00C45DC4" w:rsidP="00D33BE7">
                  <w:pPr>
                    <w:rPr>
                      <w:rFonts w:ascii="Arial" w:hAnsi="Arial" w:cs="Arial"/>
                      <w:b/>
                      <w:color w:val="000000"/>
                    </w:rPr>
                  </w:pPr>
                  <w:r w:rsidRPr="00C45DC4">
                    <w:rPr>
                      <w:rFonts w:ascii="Arial" w:hAnsi="Arial" w:cs="Arial"/>
                      <w:b/>
                      <w:color w:val="000000"/>
                    </w:rPr>
                    <w:t>Quality Assurance Mechanisms</w:t>
                  </w:r>
                </w:p>
              </w:tc>
              <w:tc>
                <w:tcPr>
                  <w:tcW w:w="2835" w:type="dxa"/>
                  <w:vMerge w:val="restart"/>
                </w:tcPr>
                <w:p w14:paraId="7A9F7C15" w14:textId="6A340C78" w:rsidR="00C45DC4" w:rsidRDefault="00C45DC4" w:rsidP="00C45DC4">
                  <w:pPr>
                    <w:rPr>
                      <w:rFonts w:ascii="Arial" w:hAnsi="Arial" w:cs="Arial"/>
                      <w:color w:val="000000"/>
                    </w:rPr>
                  </w:pPr>
                  <w:r>
                    <w:rPr>
                      <w:rFonts w:ascii="Arial" w:hAnsi="Arial" w:cs="Arial"/>
                      <w:color w:val="000000"/>
                    </w:rPr>
                    <w:t xml:space="preserve">Mention use of any form of quality assurance – use of validated material, external validation or accreditation. Please include qualifications of staff. </w:t>
                  </w:r>
                </w:p>
                <w:p w14:paraId="3A95BBE4" w14:textId="69CF352D" w:rsidR="00C45DC4" w:rsidRDefault="00C45DC4" w:rsidP="00D33BE7">
                  <w:pPr>
                    <w:rPr>
                      <w:rFonts w:ascii="Arial" w:hAnsi="Arial" w:cs="Arial"/>
                      <w:color w:val="000000"/>
                    </w:rPr>
                  </w:pPr>
                </w:p>
              </w:tc>
            </w:tr>
            <w:tr w:rsidR="00C45DC4" w14:paraId="741C5E32" w14:textId="77777777" w:rsidTr="00401CEE">
              <w:tc>
                <w:tcPr>
                  <w:tcW w:w="12474" w:type="dxa"/>
                </w:tcPr>
                <w:p w14:paraId="162D876A" w14:textId="23EC36AE" w:rsidR="0080746E" w:rsidRPr="0080746E" w:rsidRDefault="0080746E" w:rsidP="00D33BE7">
                  <w:pPr>
                    <w:rPr>
                      <w:rFonts w:ascii="Arial" w:hAnsi="Arial" w:cs="Arial"/>
                      <w:color w:val="000000"/>
                    </w:rPr>
                  </w:pPr>
                  <w:r w:rsidRPr="0080746E">
                    <w:rPr>
                      <w:rFonts w:ascii="Arial" w:hAnsi="Arial" w:cs="Arial"/>
                      <w:color w:val="000000"/>
                    </w:rPr>
                    <w:t>Each face to face session is led by a STEM Learning Network (DYHNE) approved presenter or an IOP TLC. Each of these has a minimum of 3 years consultancy/course leadership experience at a regional or national level and many have much more. Each has a very strong track record of designing/delivering similar sessions/programmes in terms of high ratings from participants and evidence of impact on practice/pupils. All presenters will have over 50% of a degree level qualification in Physics and some will have M-level or PhD level qualifications too. Participant evaluations are monitored by programme leader and by HEI. Where teacher or novice presenters are used, these will work alongside a lead consultant. The material used will be based on materials that have been shown to be effective when used for similar purposes and will be developed by Sheffield Institute of Education Centre for Science Education, STEM Learning Network and IOP. Planning is shared across all facilitators to ensure continuity for participants.</w:t>
                  </w:r>
                </w:p>
                <w:p w14:paraId="2D8EE9C1" w14:textId="77777777" w:rsidR="00C45DC4" w:rsidRPr="0080746E" w:rsidRDefault="00C45DC4" w:rsidP="0080746E">
                  <w:pPr>
                    <w:rPr>
                      <w:rFonts w:ascii="Arial" w:hAnsi="Arial" w:cs="Arial"/>
                    </w:rPr>
                  </w:pPr>
                </w:p>
              </w:tc>
              <w:tc>
                <w:tcPr>
                  <w:tcW w:w="2835" w:type="dxa"/>
                  <w:vMerge/>
                </w:tcPr>
                <w:p w14:paraId="6BB0AE52" w14:textId="6753BADB" w:rsidR="00C45DC4" w:rsidRDefault="00C45DC4" w:rsidP="00D33BE7">
                  <w:pPr>
                    <w:rPr>
                      <w:rFonts w:ascii="Arial" w:hAnsi="Arial" w:cs="Arial"/>
                      <w:color w:val="000000"/>
                    </w:rPr>
                  </w:pPr>
                </w:p>
              </w:tc>
            </w:tr>
            <w:tr w:rsidR="00C45DC4" w14:paraId="5FFB75DD" w14:textId="77777777" w:rsidTr="00401CEE">
              <w:tc>
                <w:tcPr>
                  <w:tcW w:w="12474" w:type="dxa"/>
                  <w:shd w:val="clear" w:color="auto" w:fill="D9D9D9" w:themeFill="background1" w:themeFillShade="D9"/>
                </w:tcPr>
                <w:p w14:paraId="265EA2D1" w14:textId="34D9B75A" w:rsidR="00C45DC4" w:rsidRDefault="00C45DC4" w:rsidP="00D33BE7">
                  <w:pPr>
                    <w:rPr>
                      <w:rFonts w:ascii="Arial" w:hAnsi="Arial" w:cs="Arial"/>
                      <w:b/>
                      <w:color w:val="000000"/>
                    </w:rPr>
                  </w:pPr>
                  <w:r>
                    <w:rPr>
                      <w:rFonts w:ascii="Arial" w:hAnsi="Arial" w:cs="Arial"/>
                      <w:b/>
                      <w:color w:val="000000"/>
                    </w:rPr>
                    <w:t>Individualisation for Participants</w:t>
                  </w:r>
                </w:p>
              </w:tc>
              <w:tc>
                <w:tcPr>
                  <w:tcW w:w="2835" w:type="dxa"/>
                  <w:vMerge w:val="restart"/>
                </w:tcPr>
                <w:p w14:paraId="5662D3B8" w14:textId="5044BD19" w:rsidR="00C45DC4" w:rsidRDefault="00C45DC4" w:rsidP="00D33BE7">
                  <w:pPr>
                    <w:rPr>
                      <w:rFonts w:ascii="Arial" w:hAnsi="Arial" w:cs="Arial"/>
                      <w:color w:val="000000"/>
                    </w:rPr>
                  </w:pPr>
                  <w:r>
                    <w:rPr>
                      <w:rFonts w:ascii="Arial" w:hAnsi="Arial" w:cs="Arial"/>
                      <w:color w:val="000000"/>
                    </w:rPr>
                    <w:t>Mention any separate routes possible, and how those routes are decided.</w:t>
                  </w:r>
                </w:p>
                <w:p w14:paraId="1798E7A5" w14:textId="78174211" w:rsidR="00C45DC4" w:rsidRDefault="00C45DC4" w:rsidP="00D33BE7">
                  <w:pPr>
                    <w:rPr>
                      <w:rFonts w:ascii="Arial" w:hAnsi="Arial" w:cs="Arial"/>
                      <w:color w:val="000000"/>
                    </w:rPr>
                  </w:pPr>
                </w:p>
              </w:tc>
            </w:tr>
            <w:tr w:rsidR="00C45DC4" w14:paraId="5D67E9F6" w14:textId="77777777" w:rsidTr="00401CEE">
              <w:tc>
                <w:tcPr>
                  <w:tcW w:w="12474" w:type="dxa"/>
                </w:tcPr>
                <w:p w14:paraId="7E2D5372" w14:textId="0A0B2E8B" w:rsidR="0080746E" w:rsidRPr="003A6B39" w:rsidRDefault="0080746E" w:rsidP="0080746E">
                  <w:pPr>
                    <w:rPr>
                      <w:rFonts w:ascii="Arial" w:hAnsi="Arial" w:cs="Arial"/>
                      <w:color w:val="000000"/>
                    </w:rPr>
                  </w:pPr>
                  <w:r w:rsidRPr="003A6B39">
                    <w:rPr>
                      <w:rFonts w:ascii="Arial" w:hAnsi="Arial" w:cs="Arial"/>
                      <w:color w:val="000000"/>
                    </w:rPr>
                    <w:t>The programme outlined in this document describes the minimum requirements for completion of the programme. In addition, participants can use the approaches to develop an action research approach, gathering evidence of impact using the resources provided. They can also take this further by opting for an additional 30 credit M-level module. In addition, extra pre-session reading is in place to support participants and extra post-session reading is in place to consolidate and challenge participants further. Routes are decided by participants (in conjunction with their line manager in school) with guidance from facilitators, programme leaders.</w:t>
                  </w:r>
                </w:p>
                <w:p w14:paraId="36B21A4C" w14:textId="3FE86404" w:rsidR="00C45DC4" w:rsidRDefault="00C45DC4" w:rsidP="00D33BE7">
                  <w:pPr>
                    <w:rPr>
                      <w:rFonts w:ascii="Arial" w:hAnsi="Arial" w:cs="Arial"/>
                      <w:b/>
                      <w:color w:val="000000"/>
                    </w:rPr>
                  </w:pPr>
                </w:p>
              </w:tc>
              <w:tc>
                <w:tcPr>
                  <w:tcW w:w="2835" w:type="dxa"/>
                  <w:vMerge/>
                </w:tcPr>
                <w:p w14:paraId="69A79765" w14:textId="26888F51" w:rsidR="00C45DC4" w:rsidRDefault="00C45DC4" w:rsidP="00D33BE7">
                  <w:pPr>
                    <w:rPr>
                      <w:rFonts w:ascii="Arial" w:hAnsi="Arial" w:cs="Arial"/>
                      <w:color w:val="000000"/>
                    </w:rPr>
                  </w:pPr>
                </w:p>
              </w:tc>
            </w:tr>
            <w:tr w:rsidR="00C45DC4" w14:paraId="1F3889AB" w14:textId="77777777" w:rsidTr="00401CEE">
              <w:tc>
                <w:tcPr>
                  <w:tcW w:w="12474" w:type="dxa"/>
                  <w:shd w:val="clear" w:color="auto" w:fill="D9D9D9" w:themeFill="background1" w:themeFillShade="D9"/>
                </w:tcPr>
                <w:p w14:paraId="1FC112F0" w14:textId="127344C2" w:rsidR="00C45DC4" w:rsidRDefault="00C45DC4" w:rsidP="00D33BE7">
                  <w:pPr>
                    <w:rPr>
                      <w:rFonts w:ascii="Arial" w:hAnsi="Arial" w:cs="Arial"/>
                      <w:b/>
                      <w:color w:val="000000"/>
                    </w:rPr>
                  </w:pPr>
                  <w:r>
                    <w:rPr>
                      <w:rFonts w:ascii="Arial" w:hAnsi="Arial" w:cs="Arial"/>
                      <w:b/>
                      <w:color w:val="000000"/>
                    </w:rPr>
                    <w:t>Course Evaluation Mechanism</w:t>
                  </w:r>
                </w:p>
              </w:tc>
              <w:tc>
                <w:tcPr>
                  <w:tcW w:w="2835" w:type="dxa"/>
                  <w:vMerge w:val="restart"/>
                </w:tcPr>
                <w:p w14:paraId="3F6196FE" w14:textId="4D12D41F" w:rsidR="00C45DC4" w:rsidRDefault="00C45DC4" w:rsidP="00D33BE7">
                  <w:pPr>
                    <w:rPr>
                      <w:rFonts w:ascii="Arial" w:hAnsi="Arial" w:cs="Arial"/>
                      <w:color w:val="000000"/>
                    </w:rPr>
                  </w:pPr>
                  <w:r>
                    <w:rPr>
                      <w:rFonts w:ascii="Arial" w:hAnsi="Arial" w:cs="Arial"/>
                      <w:color w:val="000000"/>
                    </w:rPr>
                    <w:t xml:space="preserve">Mention evaluation by participants, or external body, if you intend to publish survey results etc. </w:t>
                  </w:r>
                </w:p>
                <w:p w14:paraId="4D004A8B" w14:textId="6660924F" w:rsidR="00C45DC4" w:rsidRDefault="00C45DC4" w:rsidP="00D33BE7">
                  <w:pPr>
                    <w:rPr>
                      <w:rFonts w:ascii="Arial" w:hAnsi="Arial" w:cs="Arial"/>
                      <w:color w:val="000000"/>
                    </w:rPr>
                  </w:pPr>
                </w:p>
              </w:tc>
            </w:tr>
            <w:tr w:rsidR="00C45DC4" w14:paraId="13384417" w14:textId="77777777" w:rsidTr="00401CEE">
              <w:tc>
                <w:tcPr>
                  <w:tcW w:w="12474" w:type="dxa"/>
                </w:tcPr>
                <w:p w14:paraId="51DF4D03" w14:textId="7EA7B692" w:rsidR="0080746E" w:rsidRPr="003A6B39" w:rsidRDefault="0080746E" w:rsidP="0080746E">
                  <w:pPr>
                    <w:rPr>
                      <w:rFonts w:ascii="Arial" w:hAnsi="Arial" w:cs="Arial"/>
                      <w:color w:val="000000"/>
                    </w:rPr>
                  </w:pPr>
                  <w:r w:rsidRPr="003A6B39">
                    <w:rPr>
                      <w:rFonts w:ascii="Arial" w:hAnsi="Arial" w:cs="Arial"/>
                      <w:color w:val="000000"/>
                    </w:rPr>
                    <w:t xml:space="preserve">Each session is evaluated by participants using the STEM Learning Network impact toolkit. These are overseen by the TSA and HEI. Participants will be encouraged to apply for external accreditation of their learning via the Science Learning Network 'Effective STEM Teacher' status (or higher). It could also be used support an application for </w:t>
                  </w:r>
                  <w:proofErr w:type="spellStart"/>
                  <w:r w:rsidRPr="003A6B39">
                    <w:rPr>
                      <w:rFonts w:ascii="Arial" w:hAnsi="Arial" w:cs="Arial"/>
                      <w:color w:val="000000"/>
                    </w:rPr>
                    <w:t>CSciTeach</w:t>
                  </w:r>
                  <w:proofErr w:type="spellEnd"/>
                  <w:r w:rsidRPr="003A6B39">
                    <w:rPr>
                      <w:rFonts w:ascii="Arial" w:hAnsi="Arial" w:cs="Arial"/>
                      <w:color w:val="000000"/>
                    </w:rPr>
                    <w:t xml:space="preserve"> or other similar accreditation.</w:t>
                  </w:r>
                </w:p>
                <w:p w14:paraId="139F7A1A" w14:textId="6A9D4C64" w:rsidR="00C45DC4" w:rsidRDefault="00C45DC4" w:rsidP="00D33BE7">
                  <w:pPr>
                    <w:rPr>
                      <w:rFonts w:ascii="Arial" w:hAnsi="Arial" w:cs="Arial"/>
                      <w:b/>
                      <w:color w:val="000000"/>
                    </w:rPr>
                  </w:pPr>
                </w:p>
              </w:tc>
              <w:tc>
                <w:tcPr>
                  <w:tcW w:w="2835" w:type="dxa"/>
                  <w:vMerge/>
                </w:tcPr>
                <w:p w14:paraId="681BF2A3" w14:textId="6962D87D" w:rsidR="00C45DC4" w:rsidRDefault="00C45DC4" w:rsidP="00D33BE7">
                  <w:pPr>
                    <w:rPr>
                      <w:rFonts w:ascii="Arial" w:hAnsi="Arial" w:cs="Arial"/>
                      <w:color w:val="000000"/>
                    </w:rPr>
                  </w:pPr>
                </w:p>
              </w:tc>
            </w:tr>
            <w:tr w:rsidR="00C45DC4" w14:paraId="666DA30B" w14:textId="77777777" w:rsidTr="00401CEE">
              <w:tc>
                <w:tcPr>
                  <w:tcW w:w="12474" w:type="dxa"/>
                  <w:shd w:val="clear" w:color="auto" w:fill="D9D9D9" w:themeFill="background1" w:themeFillShade="D9"/>
                </w:tcPr>
                <w:p w14:paraId="15A8733F" w14:textId="4D7FC122" w:rsidR="00C45DC4" w:rsidRDefault="00C45DC4" w:rsidP="00D33BE7">
                  <w:pPr>
                    <w:rPr>
                      <w:rFonts w:ascii="Arial" w:hAnsi="Arial" w:cs="Arial"/>
                      <w:b/>
                      <w:color w:val="000000"/>
                    </w:rPr>
                  </w:pPr>
                  <w:r>
                    <w:rPr>
                      <w:rFonts w:ascii="Arial" w:hAnsi="Arial" w:cs="Arial"/>
                      <w:b/>
                      <w:color w:val="000000"/>
                    </w:rPr>
                    <w:t>Lifelong Learning of Participants</w:t>
                  </w:r>
                </w:p>
              </w:tc>
              <w:tc>
                <w:tcPr>
                  <w:tcW w:w="2835" w:type="dxa"/>
                  <w:vMerge w:val="restart"/>
                </w:tcPr>
                <w:p w14:paraId="54BE9BD1" w14:textId="6F049692" w:rsidR="00C45DC4" w:rsidRDefault="00C45DC4" w:rsidP="00D33BE7">
                  <w:pPr>
                    <w:rPr>
                      <w:rFonts w:ascii="Arial" w:hAnsi="Arial" w:cs="Arial"/>
                      <w:color w:val="000000"/>
                    </w:rPr>
                  </w:pPr>
                  <w:r>
                    <w:rPr>
                      <w:rFonts w:ascii="Arial" w:hAnsi="Arial" w:cs="Arial"/>
                      <w:color w:val="000000"/>
                    </w:rPr>
                    <w:t xml:space="preserve">The TSST courses are inevitably of limited duration. Explain how participants are enabled to acquire the skills for autonomous learning beyond the course itself. </w:t>
                  </w:r>
                </w:p>
                <w:p w14:paraId="7A59E9DC" w14:textId="1E116371" w:rsidR="00C45DC4" w:rsidRDefault="00C45DC4" w:rsidP="00D33BE7">
                  <w:pPr>
                    <w:rPr>
                      <w:rFonts w:ascii="Arial" w:hAnsi="Arial" w:cs="Arial"/>
                      <w:color w:val="000000"/>
                    </w:rPr>
                  </w:pPr>
                </w:p>
              </w:tc>
            </w:tr>
            <w:tr w:rsidR="00C45DC4" w14:paraId="646ACE44" w14:textId="77777777" w:rsidTr="00401CEE">
              <w:tc>
                <w:tcPr>
                  <w:tcW w:w="12474" w:type="dxa"/>
                </w:tcPr>
                <w:p w14:paraId="00CA3FFB" w14:textId="132C2341" w:rsidR="00C45DC4" w:rsidRPr="0080746E" w:rsidRDefault="0080746E" w:rsidP="00D33BE7">
                  <w:pPr>
                    <w:rPr>
                      <w:rFonts w:ascii="Arial" w:hAnsi="Arial" w:cs="Arial"/>
                      <w:color w:val="000000"/>
                    </w:rPr>
                  </w:pPr>
                  <w:r w:rsidRPr="0080746E">
                    <w:rPr>
                      <w:rFonts w:ascii="Arial" w:hAnsi="Arial" w:cs="Arial"/>
                      <w:color w:val="000000"/>
                    </w:rPr>
                    <w:t>During the course, we will focus on the skill development in participants to allow them to continue their development. This will include the development of reflective practice, use of buddies/peer coaches to support their development and use of action rese</w:t>
                  </w:r>
                  <w:r>
                    <w:rPr>
                      <w:rFonts w:ascii="Arial" w:hAnsi="Arial" w:cs="Arial"/>
                      <w:color w:val="000000"/>
                    </w:rPr>
                    <w:t>arch. We will also highlight</w:t>
                  </w:r>
                  <w:r w:rsidRPr="0080746E">
                    <w:rPr>
                      <w:rFonts w:ascii="Arial" w:hAnsi="Arial" w:cs="Arial"/>
                      <w:color w:val="000000"/>
                    </w:rPr>
                    <w:t xml:space="preserve"> bodies of information that will help them to continue to develop their subject knowledge, for example the SPT materials from IOP. We will also provide access to online materials for participants for a minimum of 1 year past their completion of the programme.</w:t>
                  </w:r>
                </w:p>
              </w:tc>
              <w:tc>
                <w:tcPr>
                  <w:tcW w:w="2835" w:type="dxa"/>
                  <w:vMerge/>
                </w:tcPr>
                <w:p w14:paraId="6A053262" w14:textId="79E4B547" w:rsidR="00C45DC4" w:rsidRDefault="00C45DC4" w:rsidP="00D33BE7">
                  <w:pPr>
                    <w:rPr>
                      <w:rFonts w:ascii="Arial" w:hAnsi="Arial" w:cs="Arial"/>
                      <w:color w:val="000000"/>
                    </w:rPr>
                  </w:pPr>
                </w:p>
              </w:tc>
            </w:tr>
          </w:tbl>
          <w:p w14:paraId="5F92CF9E" w14:textId="11D9737B" w:rsidR="00D7531D" w:rsidRPr="006F4A41" w:rsidRDefault="00D7531D" w:rsidP="00D33BE7">
            <w:pPr>
              <w:spacing w:after="0" w:line="240" w:lineRule="auto"/>
              <w:rPr>
                <w:rFonts w:ascii="Arial" w:eastAsia="Times New Roman" w:hAnsi="Arial" w:cs="Arial"/>
                <w:color w:val="000000"/>
                <w:lang w:eastAsia="en-GB"/>
              </w:rPr>
            </w:pPr>
          </w:p>
        </w:tc>
        <w:tc>
          <w:tcPr>
            <w:tcW w:w="280" w:type="dxa"/>
            <w:tcBorders>
              <w:top w:val="nil"/>
              <w:left w:val="nil"/>
              <w:bottom w:val="nil"/>
              <w:right w:val="nil"/>
            </w:tcBorders>
            <w:shd w:val="clear" w:color="000000" w:fill="FFFFFF"/>
            <w:noWrap/>
            <w:vAlign w:val="bottom"/>
            <w:hideMark/>
          </w:tcPr>
          <w:p w14:paraId="1E33C089"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lastRenderedPageBreak/>
              <w:t> </w:t>
            </w:r>
          </w:p>
        </w:tc>
        <w:tc>
          <w:tcPr>
            <w:tcW w:w="5994" w:type="dxa"/>
            <w:tcBorders>
              <w:top w:val="nil"/>
              <w:left w:val="nil"/>
              <w:bottom w:val="nil"/>
              <w:right w:val="nil"/>
            </w:tcBorders>
            <w:shd w:val="clear" w:color="000000" w:fill="FFFFFF"/>
            <w:noWrap/>
            <w:vAlign w:val="bottom"/>
            <w:hideMark/>
          </w:tcPr>
          <w:p w14:paraId="426DFCF8"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151" w:type="dxa"/>
            <w:tcBorders>
              <w:top w:val="nil"/>
              <w:left w:val="nil"/>
              <w:bottom w:val="nil"/>
              <w:right w:val="nil"/>
            </w:tcBorders>
            <w:shd w:val="clear" w:color="000000" w:fill="FFFFFF"/>
            <w:noWrap/>
            <w:vAlign w:val="bottom"/>
            <w:hideMark/>
          </w:tcPr>
          <w:p w14:paraId="108E8E96"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803" w:type="dxa"/>
            <w:tcBorders>
              <w:top w:val="nil"/>
              <w:left w:val="nil"/>
              <w:bottom w:val="nil"/>
              <w:right w:val="nil"/>
            </w:tcBorders>
            <w:shd w:val="clear" w:color="000000" w:fill="FFFFFF"/>
            <w:noWrap/>
            <w:vAlign w:val="bottom"/>
            <w:hideMark/>
          </w:tcPr>
          <w:p w14:paraId="4800D7D3"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150" w:type="dxa"/>
            <w:tcBorders>
              <w:top w:val="nil"/>
              <w:left w:val="nil"/>
              <w:bottom w:val="nil"/>
              <w:right w:val="nil"/>
            </w:tcBorders>
            <w:shd w:val="clear" w:color="000000" w:fill="FFFFFF"/>
            <w:noWrap/>
            <w:vAlign w:val="bottom"/>
            <w:hideMark/>
          </w:tcPr>
          <w:p w14:paraId="6364907E"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2190" w:type="dxa"/>
            <w:tcBorders>
              <w:top w:val="nil"/>
              <w:left w:val="nil"/>
              <w:bottom w:val="nil"/>
              <w:right w:val="nil"/>
            </w:tcBorders>
            <w:shd w:val="clear" w:color="000000" w:fill="FFFFFF"/>
            <w:noWrap/>
            <w:vAlign w:val="bottom"/>
            <w:hideMark/>
          </w:tcPr>
          <w:p w14:paraId="24081F9F"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326" w:type="dxa"/>
            <w:tcBorders>
              <w:top w:val="nil"/>
              <w:left w:val="nil"/>
              <w:bottom w:val="nil"/>
              <w:right w:val="nil"/>
            </w:tcBorders>
            <w:shd w:val="clear" w:color="000000" w:fill="FFFFFF"/>
            <w:noWrap/>
            <w:vAlign w:val="bottom"/>
            <w:hideMark/>
          </w:tcPr>
          <w:p w14:paraId="66B1D52D"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607" w:type="dxa"/>
            <w:tcBorders>
              <w:top w:val="nil"/>
              <w:left w:val="nil"/>
              <w:bottom w:val="nil"/>
              <w:right w:val="nil"/>
            </w:tcBorders>
            <w:shd w:val="clear" w:color="000000" w:fill="FFFFFF"/>
            <w:noWrap/>
            <w:vAlign w:val="bottom"/>
            <w:hideMark/>
          </w:tcPr>
          <w:p w14:paraId="4F4C04F3" w14:textId="77777777" w:rsidR="00D33BE7" w:rsidRPr="006F4A41" w:rsidRDefault="00D33BE7"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bl>
    <w:p w14:paraId="6B82BC81" w14:textId="77777777" w:rsidR="00507B8A" w:rsidRPr="006F4A41" w:rsidRDefault="00507B8A">
      <w:pPr>
        <w:rPr>
          <w:rFonts w:ascii="Arial" w:hAnsi="Arial" w:cs="Arial"/>
        </w:rPr>
      </w:pPr>
    </w:p>
    <w:sectPr w:rsidR="00507B8A" w:rsidRPr="006F4A41" w:rsidSect="00D33BE7">
      <w:pgSz w:w="16838" w:h="11906"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E7"/>
    <w:rsid w:val="00056C4F"/>
    <w:rsid w:val="00144872"/>
    <w:rsid w:val="001B543F"/>
    <w:rsid w:val="001C7E62"/>
    <w:rsid w:val="001F1179"/>
    <w:rsid w:val="002862D9"/>
    <w:rsid w:val="002B3B06"/>
    <w:rsid w:val="002F7A29"/>
    <w:rsid w:val="003A6B39"/>
    <w:rsid w:val="003F38AE"/>
    <w:rsid w:val="003F7CD2"/>
    <w:rsid w:val="00401CEE"/>
    <w:rsid w:val="00406EBF"/>
    <w:rsid w:val="0043394D"/>
    <w:rsid w:val="00490AC2"/>
    <w:rsid w:val="00507B8A"/>
    <w:rsid w:val="006115D6"/>
    <w:rsid w:val="00653747"/>
    <w:rsid w:val="006C077B"/>
    <w:rsid w:val="006F4A41"/>
    <w:rsid w:val="00785031"/>
    <w:rsid w:val="00796182"/>
    <w:rsid w:val="0080746E"/>
    <w:rsid w:val="008F2BE0"/>
    <w:rsid w:val="00975370"/>
    <w:rsid w:val="00981540"/>
    <w:rsid w:val="00A1690F"/>
    <w:rsid w:val="00AB4F91"/>
    <w:rsid w:val="00B60D4B"/>
    <w:rsid w:val="00BB12E4"/>
    <w:rsid w:val="00BB3080"/>
    <w:rsid w:val="00BD3FBC"/>
    <w:rsid w:val="00BF0B73"/>
    <w:rsid w:val="00C01160"/>
    <w:rsid w:val="00C45DC4"/>
    <w:rsid w:val="00C85A4B"/>
    <w:rsid w:val="00D20908"/>
    <w:rsid w:val="00D33BE7"/>
    <w:rsid w:val="00D44838"/>
    <w:rsid w:val="00D7531D"/>
    <w:rsid w:val="00F50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B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BE7"/>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rsid w:val="00D753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531D"/>
    <w:rPr>
      <w:sz w:val="16"/>
      <w:szCs w:val="16"/>
    </w:rPr>
  </w:style>
  <w:style w:type="paragraph" w:styleId="CommentText">
    <w:name w:val="annotation text"/>
    <w:basedOn w:val="Normal"/>
    <w:link w:val="CommentTextChar"/>
    <w:uiPriority w:val="99"/>
    <w:semiHidden/>
    <w:unhideWhenUsed/>
    <w:rsid w:val="00D7531D"/>
    <w:pPr>
      <w:spacing w:line="240" w:lineRule="auto"/>
    </w:pPr>
    <w:rPr>
      <w:sz w:val="20"/>
      <w:szCs w:val="20"/>
    </w:rPr>
  </w:style>
  <w:style w:type="character" w:customStyle="1" w:styleId="CommentTextChar">
    <w:name w:val="Comment Text Char"/>
    <w:basedOn w:val="DefaultParagraphFont"/>
    <w:link w:val="CommentText"/>
    <w:uiPriority w:val="99"/>
    <w:semiHidden/>
    <w:rsid w:val="00D7531D"/>
    <w:rPr>
      <w:sz w:val="20"/>
      <w:szCs w:val="20"/>
    </w:rPr>
  </w:style>
  <w:style w:type="paragraph" w:styleId="CommentSubject">
    <w:name w:val="annotation subject"/>
    <w:basedOn w:val="CommentText"/>
    <w:next w:val="CommentText"/>
    <w:link w:val="CommentSubjectChar"/>
    <w:uiPriority w:val="99"/>
    <w:semiHidden/>
    <w:unhideWhenUsed/>
    <w:rsid w:val="00D7531D"/>
    <w:rPr>
      <w:b/>
      <w:bCs/>
    </w:rPr>
  </w:style>
  <w:style w:type="character" w:customStyle="1" w:styleId="CommentSubjectChar">
    <w:name w:val="Comment Subject Char"/>
    <w:basedOn w:val="CommentTextChar"/>
    <w:link w:val="CommentSubject"/>
    <w:uiPriority w:val="99"/>
    <w:semiHidden/>
    <w:rsid w:val="00D7531D"/>
    <w:rPr>
      <w:b/>
      <w:bCs/>
      <w:sz w:val="20"/>
      <w:szCs w:val="20"/>
    </w:rPr>
  </w:style>
  <w:style w:type="paragraph" w:styleId="BalloonText">
    <w:name w:val="Balloon Text"/>
    <w:basedOn w:val="Normal"/>
    <w:link w:val="BalloonTextChar"/>
    <w:uiPriority w:val="99"/>
    <w:semiHidden/>
    <w:unhideWhenUsed/>
    <w:rsid w:val="00D75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1D"/>
    <w:rPr>
      <w:rFonts w:ascii="Segoe UI" w:hAnsi="Segoe UI" w:cs="Segoe UI"/>
      <w:sz w:val="18"/>
      <w:szCs w:val="18"/>
    </w:rPr>
  </w:style>
  <w:style w:type="character" w:styleId="Hyperlink">
    <w:name w:val="Hyperlink"/>
    <w:basedOn w:val="DefaultParagraphFont"/>
    <w:uiPriority w:val="99"/>
    <w:unhideWhenUsed/>
    <w:rsid w:val="0043394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BE7"/>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rsid w:val="00D753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531D"/>
    <w:rPr>
      <w:sz w:val="16"/>
      <w:szCs w:val="16"/>
    </w:rPr>
  </w:style>
  <w:style w:type="paragraph" w:styleId="CommentText">
    <w:name w:val="annotation text"/>
    <w:basedOn w:val="Normal"/>
    <w:link w:val="CommentTextChar"/>
    <w:uiPriority w:val="99"/>
    <w:semiHidden/>
    <w:unhideWhenUsed/>
    <w:rsid w:val="00D7531D"/>
    <w:pPr>
      <w:spacing w:line="240" w:lineRule="auto"/>
    </w:pPr>
    <w:rPr>
      <w:sz w:val="20"/>
      <w:szCs w:val="20"/>
    </w:rPr>
  </w:style>
  <w:style w:type="character" w:customStyle="1" w:styleId="CommentTextChar">
    <w:name w:val="Comment Text Char"/>
    <w:basedOn w:val="DefaultParagraphFont"/>
    <w:link w:val="CommentText"/>
    <w:uiPriority w:val="99"/>
    <w:semiHidden/>
    <w:rsid w:val="00D7531D"/>
    <w:rPr>
      <w:sz w:val="20"/>
      <w:szCs w:val="20"/>
    </w:rPr>
  </w:style>
  <w:style w:type="paragraph" w:styleId="CommentSubject">
    <w:name w:val="annotation subject"/>
    <w:basedOn w:val="CommentText"/>
    <w:next w:val="CommentText"/>
    <w:link w:val="CommentSubjectChar"/>
    <w:uiPriority w:val="99"/>
    <w:semiHidden/>
    <w:unhideWhenUsed/>
    <w:rsid w:val="00D7531D"/>
    <w:rPr>
      <w:b/>
      <w:bCs/>
    </w:rPr>
  </w:style>
  <w:style w:type="character" w:customStyle="1" w:styleId="CommentSubjectChar">
    <w:name w:val="Comment Subject Char"/>
    <w:basedOn w:val="CommentTextChar"/>
    <w:link w:val="CommentSubject"/>
    <w:uiPriority w:val="99"/>
    <w:semiHidden/>
    <w:rsid w:val="00D7531D"/>
    <w:rPr>
      <w:b/>
      <w:bCs/>
      <w:sz w:val="20"/>
      <w:szCs w:val="20"/>
    </w:rPr>
  </w:style>
  <w:style w:type="paragraph" w:styleId="BalloonText">
    <w:name w:val="Balloon Text"/>
    <w:basedOn w:val="Normal"/>
    <w:link w:val="BalloonTextChar"/>
    <w:uiPriority w:val="99"/>
    <w:semiHidden/>
    <w:unhideWhenUsed/>
    <w:rsid w:val="00D75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1D"/>
    <w:rPr>
      <w:rFonts w:ascii="Segoe UI" w:hAnsi="Segoe UI" w:cs="Segoe UI"/>
      <w:sz w:val="18"/>
      <w:szCs w:val="18"/>
    </w:rPr>
  </w:style>
  <w:style w:type="character" w:styleId="Hyperlink">
    <w:name w:val="Hyperlink"/>
    <w:basedOn w:val="DefaultParagraphFont"/>
    <w:uiPriority w:val="99"/>
    <w:unhideWhenUsed/>
    <w:rsid w:val="004339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31030">
      <w:bodyDiv w:val="1"/>
      <w:marLeft w:val="0"/>
      <w:marRight w:val="0"/>
      <w:marTop w:val="0"/>
      <w:marBottom w:val="0"/>
      <w:divBdr>
        <w:top w:val="none" w:sz="0" w:space="0" w:color="auto"/>
        <w:left w:val="none" w:sz="0" w:space="0" w:color="auto"/>
        <w:bottom w:val="none" w:sz="0" w:space="0" w:color="auto"/>
        <w:right w:val="none" w:sz="0" w:space="0" w:color="auto"/>
      </w:divBdr>
    </w:div>
    <w:div w:id="531460804">
      <w:bodyDiv w:val="1"/>
      <w:marLeft w:val="0"/>
      <w:marRight w:val="0"/>
      <w:marTop w:val="0"/>
      <w:marBottom w:val="0"/>
      <w:divBdr>
        <w:top w:val="none" w:sz="0" w:space="0" w:color="auto"/>
        <w:left w:val="none" w:sz="0" w:space="0" w:color="auto"/>
        <w:bottom w:val="none" w:sz="0" w:space="0" w:color="auto"/>
        <w:right w:val="none" w:sz="0" w:space="0" w:color="auto"/>
      </w:divBdr>
    </w:div>
    <w:div w:id="911156916">
      <w:bodyDiv w:val="1"/>
      <w:marLeft w:val="0"/>
      <w:marRight w:val="0"/>
      <w:marTop w:val="0"/>
      <w:marBottom w:val="0"/>
      <w:divBdr>
        <w:top w:val="none" w:sz="0" w:space="0" w:color="auto"/>
        <w:left w:val="none" w:sz="0" w:space="0" w:color="auto"/>
        <w:bottom w:val="none" w:sz="0" w:space="0" w:color="auto"/>
        <w:right w:val="none" w:sz="0" w:space="0" w:color="auto"/>
      </w:divBdr>
    </w:div>
    <w:div w:id="1020087854">
      <w:bodyDiv w:val="1"/>
      <w:marLeft w:val="0"/>
      <w:marRight w:val="0"/>
      <w:marTop w:val="0"/>
      <w:marBottom w:val="0"/>
      <w:divBdr>
        <w:top w:val="none" w:sz="0" w:space="0" w:color="auto"/>
        <w:left w:val="none" w:sz="0" w:space="0" w:color="auto"/>
        <w:bottom w:val="none" w:sz="0" w:space="0" w:color="auto"/>
        <w:right w:val="none" w:sz="0" w:space="0" w:color="auto"/>
      </w:divBdr>
    </w:div>
    <w:div w:id="1047215920">
      <w:bodyDiv w:val="1"/>
      <w:marLeft w:val="0"/>
      <w:marRight w:val="0"/>
      <w:marTop w:val="0"/>
      <w:marBottom w:val="0"/>
      <w:divBdr>
        <w:top w:val="none" w:sz="0" w:space="0" w:color="auto"/>
        <w:left w:val="none" w:sz="0" w:space="0" w:color="auto"/>
        <w:bottom w:val="none" w:sz="0" w:space="0" w:color="auto"/>
        <w:right w:val="none" w:sz="0" w:space="0" w:color="auto"/>
      </w:divBdr>
    </w:div>
    <w:div w:id="1315378589">
      <w:bodyDiv w:val="1"/>
      <w:marLeft w:val="0"/>
      <w:marRight w:val="0"/>
      <w:marTop w:val="0"/>
      <w:marBottom w:val="0"/>
      <w:divBdr>
        <w:top w:val="none" w:sz="0" w:space="0" w:color="auto"/>
        <w:left w:val="none" w:sz="0" w:space="0" w:color="auto"/>
        <w:bottom w:val="none" w:sz="0" w:space="0" w:color="auto"/>
        <w:right w:val="none" w:sz="0" w:space="0" w:color="auto"/>
      </w:divBdr>
    </w:div>
    <w:div w:id="1319844058">
      <w:bodyDiv w:val="1"/>
      <w:marLeft w:val="0"/>
      <w:marRight w:val="0"/>
      <w:marTop w:val="0"/>
      <w:marBottom w:val="0"/>
      <w:divBdr>
        <w:top w:val="none" w:sz="0" w:space="0" w:color="auto"/>
        <w:left w:val="none" w:sz="0" w:space="0" w:color="auto"/>
        <w:bottom w:val="none" w:sz="0" w:space="0" w:color="auto"/>
        <w:right w:val="none" w:sz="0" w:space="0" w:color="auto"/>
      </w:divBdr>
    </w:div>
    <w:div w:id="1434740380">
      <w:bodyDiv w:val="1"/>
      <w:marLeft w:val="0"/>
      <w:marRight w:val="0"/>
      <w:marTop w:val="0"/>
      <w:marBottom w:val="0"/>
      <w:divBdr>
        <w:top w:val="none" w:sz="0" w:space="0" w:color="auto"/>
        <w:left w:val="none" w:sz="0" w:space="0" w:color="auto"/>
        <w:bottom w:val="none" w:sz="0" w:space="0" w:color="auto"/>
        <w:right w:val="none" w:sz="0" w:space="0" w:color="auto"/>
      </w:divBdr>
    </w:div>
    <w:div w:id="1797289612">
      <w:bodyDiv w:val="1"/>
      <w:marLeft w:val="0"/>
      <w:marRight w:val="0"/>
      <w:marTop w:val="0"/>
      <w:marBottom w:val="0"/>
      <w:divBdr>
        <w:top w:val="none" w:sz="0" w:space="0" w:color="auto"/>
        <w:left w:val="none" w:sz="0" w:space="0" w:color="auto"/>
        <w:bottom w:val="none" w:sz="0" w:space="0" w:color="auto"/>
        <w:right w:val="none" w:sz="0" w:space="0" w:color="auto"/>
      </w:divBdr>
    </w:div>
    <w:div w:id="1839349100">
      <w:bodyDiv w:val="1"/>
      <w:marLeft w:val="0"/>
      <w:marRight w:val="0"/>
      <w:marTop w:val="0"/>
      <w:marBottom w:val="0"/>
      <w:divBdr>
        <w:top w:val="none" w:sz="0" w:space="0" w:color="auto"/>
        <w:left w:val="none" w:sz="0" w:space="0" w:color="auto"/>
        <w:bottom w:val="none" w:sz="0" w:space="0" w:color="auto"/>
        <w:right w:val="none" w:sz="0" w:space="0" w:color="auto"/>
      </w:divBdr>
    </w:div>
    <w:div w:id="201013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bailey@carmel.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crawshaw@carmel.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2147</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BIELBY, Corrina</dc:creator>
  <cp:lastModifiedBy>Andrew Lee</cp:lastModifiedBy>
  <cp:revision>3</cp:revision>
  <cp:lastPrinted>2018-09-21T10:38:00Z</cp:lastPrinted>
  <dcterms:created xsi:type="dcterms:W3CDTF">2018-09-21T10:42:00Z</dcterms:created>
  <dcterms:modified xsi:type="dcterms:W3CDTF">2019-01-17T13:56:00Z</dcterms:modified>
</cp:coreProperties>
</file>